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A6D335" w14:textId="378AE812" w:rsidR="006907BA" w:rsidRPr="00A424C4" w:rsidRDefault="006907BA" w:rsidP="006907BA">
      <w:pPr>
        <w:rPr>
          <w:rFonts w:ascii="Effra" w:hAnsi="Effra"/>
          <w:b/>
          <w:bCs/>
        </w:rPr>
      </w:pPr>
      <w:bookmarkStart w:id="0" w:name="_Hlk495415046"/>
      <w:r w:rsidRPr="00A424C4">
        <w:rPr>
          <w:rFonts w:ascii="Effra" w:hAnsi="Effra"/>
          <w:noProof/>
        </w:rPr>
        <w:drawing>
          <wp:anchor distT="0" distB="0" distL="114300" distR="114300" simplePos="0" relativeHeight="251660288" behindDoc="0" locked="0" layoutInCell="1" allowOverlap="1" wp14:anchorId="3933F6EF" wp14:editId="7CED60EB">
            <wp:simplePos x="0" y="0"/>
            <wp:positionH relativeFrom="column">
              <wp:posOffset>1905</wp:posOffset>
            </wp:positionH>
            <wp:positionV relativeFrom="paragraph">
              <wp:posOffset>-38079</wp:posOffset>
            </wp:positionV>
            <wp:extent cx="2032129" cy="333375"/>
            <wp:effectExtent l="0" t="0" r="6350" b="0"/>
            <wp:wrapNone/>
            <wp:docPr id="1" name="Picture 1" descr="logo_rgb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rgb_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32129" cy="3333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2014C41" w14:textId="6D7B0BB4" w:rsidR="006907BA" w:rsidRPr="00A424C4" w:rsidRDefault="006907BA" w:rsidP="006907BA">
      <w:pPr>
        <w:rPr>
          <w:rFonts w:ascii="Effra" w:hAnsi="Effra"/>
          <w:b/>
          <w:bCs/>
        </w:rPr>
      </w:pPr>
    </w:p>
    <w:p w14:paraId="76D735B2" w14:textId="62F3D197" w:rsidR="006907BA" w:rsidRPr="00A424C4" w:rsidRDefault="006907BA" w:rsidP="006907BA">
      <w:pPr>
        <w:rPr>
          <w:rFonts w:ascii="Effra" w:eastAsiaTheme="minorHAnsi" w:hAnsi="Effra" w:cs="Arial"/>
          <w:b/>
          <w:color w:val="2E74B5"/>
          <w:sz w:val="28"/>
          <w:szCs w:val="28"/>
        </w:rPr>
      </w:pPr>
      <w:r w:rsidRPr="00A424C4">
        <w:rPr>
          <w:rFonts w:ascii="Effra" w:eastAsiaTheme="minorHAnsi" w:hAnsi="Effra" w:cs="Arial"/>
          <w:b/>
          <w:noProof/>
          <w:color w:val="2E74B5"/>
          <w:sz w:val="28"/>
          <w:szCs w:val="28"/>
        </w:rPr>
        <mc:AlternateContent>
          <mc:Choice Requires="wps">
            <w:drawing>
              <wp:anchor distT="0" distB="0" distL="114300" distR="114300" simplePos="0" relativeHeight="251659264" behindDoc="0" locked="0" layoutInCell="1" allowOverlap="1" wp14:anchorId="042142F4" wp14:editId="5D810239">
                <wp:simplePos x="0" y="0"/>
                <wp:positionH relativeFrom="column">
                  <wp:posOffset>0</wp:posOffset>
                </wp:positionH>
                <wp:positionV relativeFrom="paragraph">
                  <wp:posOffset>282575</wp:posOffset>
                </wp:positionV>
                <wp:extent cx="6210300" cy="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6210300" cy="0"/>
                        </a:xfrm>
                        <a:prstGeom prst="line">
                          <a:avLst/>
                        </a:prstGeom>
                        <a:ln w="12700"/>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A2E2860" id="Straight Connector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0,22.25pt" to="489pt,2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" strokecolor="#4472c4 [3204]" strokeweight="1pt">
                <v:stroke joinstyle="miter"/>
              </v:line>
            </w:pict>
          </mc:Fallback>
        </mc:AlternateContent>
      </w:r>
      <w:r w:rsidR="00F0669B" w:rsidRPr="00A424C4">
        <w:rPr>
          <w:rFonts w:ascii="Effra" w:eastAsiaTheme="minorHAnsi" w:hAnsi="Effra" w:cs="Arial"/>
          <w:b/>
          <w:noProof/>
          <w:color w:val="2E74B5"/>
          <w:sz w:val="28"/>
          <w:szCs w:val="28"/>
        </w:rPr>
        <w:t>LINQ II™ Insertable Cardiac Monitor</w:t>
      </w:r>
    </w:p>
    <w:p w14:paraId="3AA0C838" w14:textId="3775966E" w:rsidR="00254AC5" w:rsidRPr="00A424C4" w:rsidRDefault="00254AC5" w:rsidP="006907BA">
      <w:pPr>
        <w:rPr>
          <w:rStyle w:val="Strong"/>
          <w:rFonts w:ascii="Effra" w:hAnsi="Effra"/>
          <w:color w:val="2E74B5"/>
          <w:sz w:val="22"/>
          <w:szCs w:val="22"/>
        </w:rPr>
      </w:pPr>
    </w:p>
    <w:p w14:paraId="3686AF10" w14:textId="642CA2F3" w:rsidR="00F0669B" w:rsidRPr="00FC52E0" w:rsidRDefault="005643E6" w:rsidP="006D47A7">
      <w:pPr>
        <w:widowControl w:val="0"/>
        <w:tabs>
          <w:tab w:val="left" w:pos="220"/>
          <w:tab w:val="left" w:pos="720"/>
        </w:tabs>
        <w:autoSpaceDE w:val="0"/>
        <w:autoSpaceDN w:val="0"/>
        <w:adjustRightInd w:val="0"/>
        <w:contextualSpacing/>
        <w:rPr>
          <w:rFonts w:ascii="Effra" w:hAnsi="Effra"/>
          <w:sz w:val="22"/>
          <w:szCs w:val="22"/>
          <w:shd w:val="clear" w:color="auto" w:fill="FFFFFF"/>
        </w:rPr>
      </w:pPr>
      <w:r w:rsidRPr="00E17B9F">
        <w:rPr>
          <w:rFonts w:ascii="Effra" w:hAnsi="Effra" w:cs="Arial"/>
          <w:noProof/>
          <w:sz w:val="22"/>
          <w:szCs w:val="22"/>
          <w:shd w:val="clear" w:color="auto" w:fill="FFFFFF"/>
        </w:rPr>
        <w:drawing>
          <wp:anchor distT="0" distB="0" distL="114300" distR="114300" simplePos="0" relativeHeight="251661312" behindDoc="0" locked="0" layoutInCell="1" allowOverlap="1" wp14:anchorId="3FF7AEF8" wp14:editId="7548CA83">
            <wp:simplePos x="0" y="0"/>
            <wp:positionH relativeFrom="margin">
              <wp:posOffset>5256530</wp:posOffset>
            </wp:positionH>
            <wp:positionV relativeFrom="margin">
              <wp:posOffset>749300</wp:posOffset>
            </wp:positionV>
            <wp:extent cx="699770" cy="2100580"/>
            <wp:effectExtent l="0" t="0" r="0" b="0"/>
            <wp:wrapSquare wrapText="bothSides"/>
            <wp:docPr id="15" name="Picture 14">
              <a:extLst xmlns:a="http://schemas.openxmlformats.org/drawingml/2006/main">
                <a:ext uri="{FF2B5EF4-FFF2-40B4-BE49-F238E27FC236}">
                  <a16:creationId xmlns:a16="http://schemas.microsoft.com/office/drawing/2014/main" id="{903FF80F-2781-594D-9324-8A9D38ADAB2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903FF80F-2781-594D-9324-8A9D38ADAB29}"/>
                        </a:ext>
                      </a:extLst>
                    </pic:cNvPr>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99770" cy="2100580"/>
                    </a:xfrm>
                    <a:prstGeom prst="rect">
                      <a:avLst/>
                    </a:prstGeom>
                  </pic:spPr>
                </pic:pic>
              </a:graphicData>
            </a:graphic>
            <wp14:sizeRelH relativeFrom="margin">
              <wp14:pctWidth>0</wp14:pctWidth>
            </wp14:sizeRelH>
            <wp14:sizeRelV relativeFrom="margin">
              <wp14:pctHeight>0</wp14:pctHeight>
            </wp14:sizeRelV>
          </wp:anchor>
        </w:drawing>
      </w:r>
      <w:r w:rsidR="00F0669B" w:rsidRPr="00E17B9F">
        <w:rPr>
          <w:rFonts w:ascii="Effra" w:hAnsi="Effra" w:cs="Arial"/>
          <w:bCs/>
          <w:kern w:val="36"/>
          <w:sz w:val="22"/>
          <w:szCs w:val="22"/>
        </w:rPr>
        <w:t>LINQ II</w:t>
      </w:r>
      <w:r w:rsidRPr="00E17B9F">
        <w:rPr>
          <w:rFonts w:ascii="Effra" w:hAnsi="Effra" w:cs="Arial"/>
          <w:bCs/>
          <w:kern w:val="36"/>
          <w:sz w:val="22"/>
          <w:szCs w:val="22"/>
        </w:rPr>
        <w:t>™</w:t>
      </w:r>
      <w:r w:rsidR="00F0669B" w:rsidRPr="00E17B9F">
        <w:rPr>
          <w:rFonts w:ascii="Effra" w:hAnsi="Effra" w:cs="Arial"/>
          <w:bCs/>
          <w:kern w:val="36"/>
          <w:sz w:val="22"/>
          <w:szCs w:val="22"/>
        </w:rPr>
        <w:t xml:space="preserve"> is a </w:t>
      </w:r>
      <w:r w:rsidR="00F0669B" w:rsidRPr="00E17B9F">
        <w:rPr>
          <w:rFonts w:ascii="Effra" w:hAnsi="Effra" w:cs="Arial"/>
          <w:sz w:val="22"/>
          <w:szCs w:val="22"/>
          <w:shd w:val="clear" w:color="auto" w:fill="FFFFFF"/>
        </w:rPr>
        <w:t xml:space="preserve">small, wireless </w:t>
      </w:r>
      <w:r w:rsidR="002D56F6" w:rsidRPr="00E17B9F">
        <w:rPr>
          <w:rFonts w:ascii="Effra" w:hAnsi="Effra" w:cs="Arial"/>
          <w:sz w:val="22"/>
          <w:szCs w:val="22"/>
          <w:shd w:val="clear" w:color="auto" w:fill="FFFFFF"/>
        </w:rPr>
        <w:t>insertable cardiac monitor (</w:t>
      </w:r>
      <w:r w:rsidR="00F0669B" w:rsidRPr="00E17B9F">
        <w:rPr>
          <w:rFonts w:ascii="Effra" w:hAnsi="Effra" w:cs="Arial"/>
          <w:sz w:val="22"/>
          <w:szCs w:val="22"/>
          <w:shd w:val="clear" w:color="auto" w:fill="FFFFFF"/>
        </w:rPr>
        <w:t>ICM</w:t>
      </w:r>
      <w:r w:rsidR="002D56F6" w:rsidRPr="00E17B9F">
        <w:rPr>
          <w:rFonts w:ascii="Effra" w:hAnsi="Effra" w:cs="Arial"/>
          <w:sz w:val="22"/>
          <w:szCs w:val="22"/>
          <w:shd w:val="clear" w:color="auto" w:fill="FFFFFF"/>
        </w:rPr>
        <w:t>)</w:t>
      </w:r>
      <w:r w:rsidR="00F0669B" w:rsidRPr="00E17B9F">
        <w:rPr>
          <w:rFonts w:ascii="Effra" w:hAnsi="Effra" w:cs="Arial"/>
          <w:sz w:val="22"/>
          <w:szCs w:val="22"/>
          <w:shd w:val="clear" w:color="auto" w:fill="FFFFFF"/>
        </w:rPr>
        <w:t xml:space="preserve"> for </w:t>
      </w:r>
      <w:r w:rsidR="0022239E" w:rsidRPr="00E17B9F">
        <w:rPr>
          <w:rFonts w:ascii="Effra" w:hAnsi="Effra" w:cs="Arial"/>
          <w:sz w:val="22"/>
          <w:szCs w:val="22"/>
          <w:shd w:val="clear" w:color="auto" w:fill="FFFFFF"/>
        </w:rPr>
        <w:t>patients with abnormal heart rhythms who</w:t>
      </w:r>
      <w:r w:rsidR="00F0669B" w:rsidRPr="00E17B9F">
        <w:rPr>
          <w:rFonts w:ascii="Effra" w:hAnsi="Effra" w:cs="Arial"/>
          <w:sz w:val="22"/>
          <w:szCs w:val="22"/>
          <w:shd w:val="clear" w:color="auto" w:fill="FFFFFF"/>
        </w:rPr>
        <w:t xml:space="preserve"> experienc</w:t>
      </w:r>
      <w:r w:rsidR="0022239E" w:rsidRPr="00E17B9F">
        <w:rPr>
          <w:rFonts w:ascii="Effra" w:hAnsi="Effra" w:cs="Arial"/>
          <w:sz w:val="22"/>
          <w:szCs w:val="22"/>
          <w:shd w:val="clear" w:color="auto" w:fill="FFFFFF"/>
        </w:rPr>
        <w:t>e</w:t>
      </w:r>
      <w:r w:rsidR="00F0669B" w:rsidRPr="00E17B9F">
        <w:rPr>
          <w:rFonts w:ascii="Effra" w:hAnsi="Effra" w:cs="Arial"/>
          <w:sz w:val="22"/>
          <w:szCs w:val="22"/>
          <w:shd w:val="clear" w:color="auto" w:fill="FFFFFF"/>
        </w:rPr>
        <w:t xml:space="preserve"> infrequent symptoms</w:t>
      </w:r>
      <w:r w:rsidR="00FC52E0">
        <w:rPr>
          <w:rFonts w:ascii="Effra" w:hAnsi="Effra" w:cs="Arial"/>
          <w:sz w:val="22"/>
          <w:szCs w:val="22"/>
          <w:shd w:val="clear" w:color="auto" w:fill="FFFFFF"/>
        </w:rPr>
        <w:t>, including dizziness, palpitations, syncope (fainting) and/or chest pain</w:t>
      </w:r>
      <w:r w:rsidR="0022239E" w:rsidRPr="00E17B9F">
        <w:rPr>
          <w:rFonts w:ascii="Effra" w:hAnsi="Effra" w:cs="Arial"/>
          <w:sz w:val="22"/>
          <w:szCs w:val="22"/>
          <w:shd w:val="clear" w:color="auto" w:fill="FFFFFF"/>
        </w:rPr>
        <w:t>, thereby</w:t>
      </w:r>
      <w:r w:rsidR="00F0669B" w:rsidRPr="00E17B9F">
        <w:rPr>
          <w:rFonts w:ascii="Effra" w:hAnsi="Effra" w:cs="Arial"/>
          <w:sz w:val="22"/>
          <w:szCs w:val="22"/>
          <w:shd w:val="clear" w:color="auto" w:fill="FFFFFF"/>
        </w:rPr>
        <w:t xml:space="preserve"> requir</w:t>
      </w:r>
      <w:r w:rsidR="0022239E" w:rsidRPr="00E17B9F">
        <w:rPr>
          <w:rFonts w:ascii="Effra" w:hAnsi="Effra" w:cs="Arial"/>
          <w:sz w:val="22"/>
          <w:szCs w:val="22"/>
          <w:shd w:val="clear" w:color="auto" w:fill="FFFFFF"/>
        </w:rPr>
        <w:t>ing</w:t>
      </w:r>
      <w:r w:rsidR="00F0669B" w:rsidRPr="00E17B9F">
        <w:rPr>
          <w:rFonts w:ascii="Effra" w:hAnsi="Effra" w:cs="Arial"/>
          <w:sz w:val="22"/>
          <w:szCs w:val="22"/>
          <w:shd w:val="clear" w:color="auto" w:fill="FFFFFF"/>
        </w:rPr>
        <w:t xml:space="preserve"> long-term monitoring or ongoing management.</w:t>
      </w:r>
    </w:p>
    <w:p w14:paraId="231BB01C" w14:textId="77777777" w:rsidR="00FC52E0" w:rsidRPr="00E17B9F" w:rsidRDefault="00FC52E0" w:rsidP="006D47A7">
      <w:pPr>
        <w:widowControl w:val="0"/>
        <w:tabs>
          <w:tab w:val="left" w:pos="220"/>
          <w:tab w:val="left" w:pos="720"/>
        </w:tabs>
        <w:autoSpaceDE w:val="0"/>
        <w:autoSpaceDN w:val="0"/>
        <w:adjustRightInd w:val="0"/>
        <w:contextualSpacing/>
        <w:rPr>
          <w:rFonts w:ascii="Effra" w:hAnsi="Effra" w:cs="Arial"/>
          <w:bCs/>
          <w:kern w:val="36"/>
          <w:sz w:val="22"/>
          <w:szCs w:val="22"/>
        </w:rPr>
      </w:pPr>
    </w:p>
    <w:p w14:paraId="3E51F209" w14:textId="590BF648" w:rsidR="00FE3471" w:rsidRPr="00FE3471" w:rsidRDefault="00FE3471" w:rsidP="00FE3471">
      <w:pPr>
        <w:widowControl w:val="0"/>
        <w:tabs>
          <w:tab w:val="left" w:pos="220"/>
          <w:tab w:val="left" w:pos="720"/>
        </w:tabs>
        <w:autoSpaceDE w:val="0"/>
        <w:autoSpaceDN w:val="0"/>
        <w:adjustRightInd w:val="0"/>
        <w:contextualSpacing/>
        <w:rPr>
          <w:rFonts w:ascii="Effra" w:hAnsi="Effra" w:cs="Arial"/>
          <w:sz w:val="22"/>
          <w:szCs w:val="22"/>
          <w:shd w:val="clear" w:color="auto" w:fill="FFFFFF"/>
        </w:rPr>
      </w:pPr>
      <w:r w:rsidRPr="005D26C5">
        <w:rPr>
          <w:rFonts w:ascii="Effra" w:hAnsi="Effra" w:cs="Arial"/>
          <w:bCs/>
          <w:kern w:val="36"/>
          <w:sz w:val="22"/>
          <w:szCs w:val="22"/>
        </w:rPr>
        <w:t>In 2020, the U.S. Food and Drug Administration (FDA) cleared</w:t>
      </w:r>
      <w:r w:rsidRPr="005D26C5">
        <w:rPr>
          <w:rFonts w:ascii="Effra" w:hAnsi="Effra" w:cs="Arial"/>
          <w:sz w:val="22"/>
          <w:szCs w:val="22"/>
          <w:shd w:val="clear" w:color="auto" w:fill="FFFFFF"/>
        </w:rPr>
        <w:t xml:space="preserve"> the LINQ II ICM with remote</w:t>
      </w:r>
      <w:r w:rsidRPr="00613C8B">
        <w:rPr>
          <w:rFonts w:ascii="Effra" w:hAnsi="Effra" w:cs="Arial"/>
          <w:sz w:val="22"/>
          <w:szCs w:val="22"/>
          <w:shd w:val="clear" w:color="auto" w:fill="FFFFFF"/>
        </w:rPr>
        <w:t xml:space="preserve"> programming </w:t>
      </w:r>
      <w:r w:rsidR="00260C75">
        <w:rPr>
          <w:rFonts w:ascii="Effra" w:hAnsi="Effra" w:cs="Arial"/>
          <w:sz w:val="22"/>
          <w:szCs w:val="22"/>
          <w:shd w:val="clear" w:color="auto" w:fill="FFFFFF"/>
        </w:rPr>
        <w:t>options</w:t>
      </w:r>
      <w:r w:rsidRPr="00613C8B">
        <w:rPr>
          <w:rFonts w:ascii="Effra" w:hAnsi="Effra" w:cs="Arial"/>
          <w:sz w:val="22"/>
          <w:szCs w:val="22"/>
          <w:shd w:val="clear" w:color="auto" w:fill="FFFFFF"/>
        </w:rPr>
        <w:t xml:space="preserve"> and </w:t>
      </w:r>
      <w:r w:rsidR="00744DB5">
        <w:rPr>
          <w:rFonts w:ascii="Effra" w:hAnsi="Effra" w:cs="Arial"/>
          <w:sz w:val="22"/>
          <w:szCs w:val="22"/>
          <w:shd w:val="clear" w:color="auto" w:fill="FFFFFF"/>
        </w:rPr>
        <w:t xml:space="preserve">improved </w:t>
      </w:r>
      <w:r w:rsidRPr="00613C8B">
        <w:rPr>
          <w:rFonts w:ascii="Effra" w:hAnsi="Effra" w:cs="Arial"/>
          <w:sz w:val="22"/>
          <w:szCs w:val="22"/>
          <w:shd w:val="clear" w:color="auto" w:fill="FFFFFF"/>
        </w:rPr>
        <w:t>longevity (4.5 years</w:t>
      </w:r>
      <w:r w:rsidR="00D16350" w:rsidRPr="00613C8B">
        <w:rPr>
          <w:rFonts w:ascii="Effra" w:hAnsi="Effra" w:cs="Arial"/>
          <w:bCs/>
          <w:kern w:val="36"/>
          <w:sz w:val="22"/>
          <w:szCs w:val="22"/>
        </w:rPr>
        <w:t>*</w:t>
      </w:r>
      <w:r w:rsidR="00D16350" w:rsidRPr="00613C8B">
        <w:rPr>
          <w:rFonts w:ascii="Effra" w:hAnsi="Effra" w:cs="Arial"/>
          <w:bCs/>
          <w:kern w:val="36"/>
          <w:sz w:val="22"/>
          <w:szCs w:val="22"/>
          <w:vertAlign w:val="superscript"/>
        </w:rPr>
        <w:t>1</w:t>
      </w:r>
      <w:r w:rsidR="00942CE3" w:rsidRPr="008E2860">
        <w:rPr>
          <w:rFonts w:ascii="Effra" w:hAnsi="Effra" w:cs="Arial"/>
          <w:sz w:val="22"/>
          <w:szCs w:val="22"/>
          <w:shd w:val="clear" w:color="auto" w:fill="FFFFFF"/>
        </w:rPr>
        <w:t>)</w:t>
      </w:r>
      <w:r w:rsidRPr="008E2860">
        <w:rPr>
          <w:rFonts w:ascii="Effra" w:hAnsi="Effra" w:cs="Arial"/>
          <w:sz w:val="22"/>
          <w:szCs w:val="22"/>
          <w:shd w:val="clear" w:color="auto" w:fill="FFFFFF"/>
        </w:rPr>
        <w:t xml:space="preserve"> compared </w:t>
      </w:r>
      <w:r w:rsidRPr="00613C8B">
        <w:rPr>
          <w:rFonts w:ascii="Effra" w:hAnsi="Effra" w:cs="Arial"/>
          <w:sz w:val="22"/>
          <w:szCs w:val="22"/>
          <w:shd w:val="clear" w:color="auto" w:fill="FFFFFF"/>
        </w:rPr>
        <w:t>to other ICMs. The device delivers enhanced accuracy to correctly detect abnormal heart rhythms, simplifying the diagnosis and monitoring of patients.</w:t>
      </w:r>
    </w:p>
    <w:p w14:paraId="4BBF0FD0" w14:textId="77777777" w:rsidR="00FE3471" w:rsidRPr="00FE3471" w:rsidRDefault="00FE3471" w:rsidP="00FE3471">
      <w:pPr>
        <w:widowControl w:val="0"/>
        <w:tabs>
          <w:tab w:val="left" w:pos="220"/>
          <w:tab w:val="left" w:pos="720"/>
        </w:tabs>
        <w:autoSpaceDE w:val="0"/>
        <w:autoSpaceDN w:val="0"/>
        <w:adjustRightInd w:val="0"/>
        <w:contextualSpacing/>
        <w:rPr>
          <w:rFonts w:ascii="Effra" w:hAnsi="Effra" w:cs="Arial"/>
          <w:sz w:val="22"/>
          <w:szCs w:val="22"/>
          <w:shd w:val="clear" w:color="auto" w:fill="FFFFFF"/>
        </w:rPr>
      </w:pPr>
    </w:p>
    <w:p w14:paraId="34DA8EE1" w14:textId="4ABE43D5" w:rsidR="00E0238A" w:rsidRDefault="005D2D57" w:rsidP="00123685">
      <w:pPr>
        <w:rPr>
          <w:rFonts w:ascii="Effra" w:hAnsi="Effra" w:cs="Arial"/>
          <w:sz w:val="22"/>
          <w:szCs w:val="22"/>
          <w:shd w:val="clear" w:color="auto" w:fill="FFFFFF"/>
        </w:rPr>
      </w:pPr>
      <w:r>
        <w:rPr>
          <w:rFonts w:ascii="Effra" w:hAnsi="Effra" w:cs="Arial"/>
          <w:sz w:val="22"/>
          <w:szCs w:val="22"/>
          <w:shd w:val="clear" w:color="auto" w:fill="FFFFFF"/>
        </w:rPr>
        <w:t>LINQ II</w:t>
      </w:r>
      <w:r w:rsidR="00D35D80" w:rsidRPr="00BF266B">
        <w:rPr>
          <w:rFonts w:ascii="Effra" w:hAnsi="Effra" w:cs="Arial"/>
          <w:sz w:val="22"/>
          <w:szCs w:val="22"/>
          <w:shd w:val="clear" w:color="auto" w:fill="FFFFFF"/>
        </w:rPr>
        <w:t xml:space="preserve"> gives physicians </w:t>
      </w:r>
      <w:r w:rsidR="00D35D80" w:rsidRPr="00BF266B">
        <w:rPr>
          <w:rFonts w:ascii="Effra" w:eastAsia="MS Mincho" w:hAnsi="Effra" w:cs="Arial"/>
          <w:iCs/>
          <w:sz w:val="22"/>
          <w:szCs w:val="22"/>
        </w:rPr>
        <w:t xml:space="preserve">clinically relevant data to help diagnose underlying heart conditions and define treatment protocols for patients with atrial fibrillation (AF) or other abnormal heart rhythms. </w:t>
      </w:r>
      <w:r w:rsidR="007E2C78">
        <w:rPr>
          <w:rFonts w:ascii="Effra" w:eastAsia="MS Mincho" w:hAnsi="Effra" w:cs="Arial"/>
          <w:iCs/>
          <w:sz w:val="22"/>
          <w:szCs w:val="22"/>
        </w:rPr>
        <w:t>The</w:t>
      </w:r>
      <w:r w:rsidR="00D35D80" w:rsidRPr="00BF266B">
        <w:rPr>
          <w:rFonts w:ascii="Effra" w:hAnsi="Effra" w:cs="Arial"/>
          <w:sz w:val="22"/>
          <w:szCs w:val="22"/>
          <w:shd w:val="clear" w:color="auto" w:fill="FFFFFF"/>
        </w:rPr>
        <w:t xml:space="preserve"> LINQ II system offers patients a </w:t>
      </w:r>
      <w:r w:rsidR="00D35D80" w:rsidRPr="00BF266B">
        <w:rPr>
          <w:rFonts w:ascii="Effra" w:hAnsi="Effra" w:cs="Arial"/>
          <w:sz w:val="22"/>
          <w:szCs w:val="22"/>
        </w:rPr>
        <w:t>consistent way to experience ongoing connectivity between their device and physician, while potentially reducing the need for in-office visits</w:t>
      </w:r>
      <w:r w:rsidR="007E2C78">
        <w:rPr>
          <w:rFonts w:ascii="Effra" w:hAnsi="Effra" w:cs="Arial"/>
          <w:sz w:val="22"/>
          <w:szCs w:val="22"/>
          <w:shd w:val="clear" w:color="auto" w:fill="FFFFFF"/>
        </w:rPr>
        <w:t xml:space="preserve"> – a benefit </w:t>
      </w:r>
      <w:r w:rsidR="00F82E5A">
        <w:rPr>
          <w:rFonts w:ascii="Effra" w:hAnsi="Effra" w:cs="Arial"/>
          <w:sz w:val="22"/>
          <w:szCs w:val="22"/>
          <w:shd w:val="clear" w:color="auto" w:fill="FFFFFF"/>
        </w:rPr>
        <w:t>for both patients and physicians, especially during the current COVID-19 pandemic.</w:t>
      </w:r>
    </w:p>
    <w:p w14:paraId="003D2956" w14:textId="77777777" w:rsidR="00B05706" w:rsidRDefault="00B05706" w:rsidP="00123685">
      <w:pPr>
        <w:rPr>
          <w:rFonts w:ascii="Effra" w:hAnsi="Effra"/>
          <w:b/>
          <w:bCs/>
          <w:sz w:val="22"/>
          <w:szCs w:val="22"/>
        </w:rPr>
      </w:pPr>
    </w:p>
    <w:p w14:paraId="19521140" w14:textId="78A38963" w:rsidR="00123685" w:rsidRPr="00123685" w:rsidRDefault="00123685" w:rsidP="00123685">
      <w:pPr>
        <w:rPr>
          <w:rFonts w:ascii="Effra" w:hAnsi="Effra"/>
          <w:b/>
          <w:bCs/>
          <w:color w:val="365F91"/>
          <w:sz w:val="22"/>
          <w:szCs w:val="22"/>
        </w:rPr>
      </w:pPr>
      <w:r w:rsidRPr="00123685">
        <w:rPr>
          <w:rFonts w:ascii="Effra" w:hAnsi="Effra"/>
          <w:b/>
          <w:bCs/>
          <w:sz w:val="22"/>
          <w:szCs w:val="22"/>
        </w:rPr>
        <w:t>About Atrial Fibrillation (AF)</w:t>
      </w:r>
    </w:p>
    <w:p w14:paraId="7C6C7DF1" w14:textId="62AE332F" w:rsidR="00123685" w:rsidRPr="00123685" w:rsidRDefault="00123685" w:rsidP="00123685">
      <w:pPr>
        <w:rPr>
          <w:rFonts w:ascii="Effra" w:hAnsi="Effra"/>
          <w:sz w:val="22"/>
          <w:szCs w:val="22"/>
          <w:shd w:val="clear" w:color="auto" w:fill="FFFFFF"/>
        </w:rPr>
      </w:pPr>
      <w:r w:rsidRPr="00123685">
        <w:rPr>
          <w:rFonts w:ascii="Effra" w:hAnsi="Effra"/>
          <w:sz w:val="22"/>
          <w:szCs w:val="22"/>
        </w:rPr>
        <w:t xml:space="preserve">AF is one of the most common cardiac arrythmias, in which the upper chambers of the heart, or atria, quiver or beat very fast and irregularly so the heart cannot effectively pump blood to the rest of the body. AF is a chronic and progressive disease, yet sometimes episodes are infrequent; continuous, long-term monitoring can record irregular heart rhythm data to detect underlying </w:t>
      </w:r>
      <w:r w:rsidR="00214089" w:rsidRPr="00123685">
        <w:rPr>
          <w:rFonts w:ascii="Effra" w:hAnsi="Effra"/>
          <w:sz w:val="22"/>
          <w:szCs w:val="22"/>
        </w:rPr>
        <w:t>conditions and</w:t>
      </w:r>
      <w:r w:rsidRPr="00123685">
        <w:rPr>
          <w:rFonts w:ascii="Effra" w:hAnsi="Effra"/>
          <w:sz w:val="22"/>
          <w:szCs w:val="22"/>
        </w:rPr>
        <w:t xml:space="preserve"> can help guide AF treatment decisions over several years. </w:t>
      </w:r>
    </w:p>
    <w:p w14:paraId="36DF53C4" w14:textId="1E7AAEB1" w:rsidR="00EC6F13" w:rsidRDefault="00EC6F13" w:rsidP="00551AF4">
      <w:pPr>
        <w:rPr>
          <w:rFonts w:ascii="Effra" w:hAnsi="Effra"/>
          <w:sz w:val="22"/>
          <w:szCs w:val="22"/>
          <w:shd w:val="clear" w:color="auto" w:fill="FFFFFF"/>
        </w:rPr>
      </w:pPr>
    </w:p>
    <w:p w14:paraId="61E5B276" w14:textId="77777777" w:rsidR="00214089" w:rsidRPr="00C1634B" w:rsidRDefault="00214089" w:rsidP="00214089">
      <w:pPr>
        <w:rPr>
          <w:rFonts w:ascii="Effra" w:hAnsi="Effra"/>
          <w:b/>
          <w:bCs/>
          <w:sz w:val="22"/>
          <w:szCs w:val="22"/>
          <w:shd w:val="clear" w:color="auto" w:fill="FFFFFF"/>
        </w:rPr>
      </w:pPr>
      <w:r w:rsidRPr="00C1634B">
        <w:rPr>
          <w:rFonts w:ascii="Effra" w:hAnsi="Effra"/>
          <w:b/>
          <w:bCs/>
          <w:sz w:val="22"/>
          <w:szCs w:val="22"/>
          <w:shd w:val="clear" w:color="auto" w:fill="FFFFFF"/>
        </w:rPr>
        <w:t>About Syncope (fainting)</w:t>
      </w:r>
    </w:p>
    <w:p w14:paraId="43FC4510" w14:textId="77777777" w:rsidR="00214089" w:rsidRPr="00C1634B" w:rsidRDefault="00214089" w:rsidP="00214089">
      <w:pPr>
        <w:rPr>
          <w:rFonts w:ascii="Effra" w:hAnsi="Effra"/>
          <w:sz w:val="22"/>
          <w:szCs w:val="22"/>
          <w:shd w:val="clear" w:color="auto" w:fill="FFFFFF"/>
        </w:rPr>
      </w:pPr>
      <w:r w:rsidRPr="00C1634B">
        <w:rPr>
          <w:rFonts w:ascii="Effra" w:hAnsi="Effra"/>
          <w:sz w:val="22"/>
          <w:szCs w:val="22"/>
          <w:shd w:val="clear" w:color="auto" w:fill="FFFFFF"/>
        </w:rPr>
        <w:t xml:space="preserve">Fainting is a common problem and many patients admitted to the hospital leave without a diagnosis. People faint for many reasons, but it can ultimately be a sign of an underlying heart condition - something that can be discovered through long-term cardiac monitoring. </w:t>
      </w:r>
    </w:p>
    <w:p w14:paraId="3FF25BBE" w14:textId="77777777" w:rsidR="00214089" w:rsidRPr="00C1634B" w:rsidRDefault="00214089" w:rsidP="00214089">
      <w:pPr>
        <w:rPr>
          <w:rFonts w:ascii="Effra" w:hAnsi="Effra"/>
          <w:sz w:val="22"/>
          <w:szCs w:val="22"/>
          <w:shd w:val="clear" w:color="auto" w:fill="FFFFFF"/>
        </w:rPr>
      </w:pPr>
    </w:p>
    <w:p w14:paraId="4FB65533" w14:textId="77777777" w:rsidR="00214089" w:rsidRPr="00C1634B" w:rsidRDefault="00214089" w:rsidP="00214089">
      <w:pPr>
        <w:rPr>
          <w:rFonts w:ascii="Effra" w:hAnsi="Effra" w:cstheme="minorHAnsi"/>
          <w:b/>
          <w:bCs/>
          <w:sz w:val="22"/>
          <w:szCs w:val="22"/>
        </w:rPr>
      </w:pPr>
      <w:r w:rsidRPr="00C1634B">
        <w:rPr>
          <w:rFonts w:ascii="Effra" w:hAnsi="Effra"/>
          <w:b/>
          <w:bCs/>
          <w:sz w:val="22"/>
          <w:szCs w:val="22"/>
          <w:shd w:val="clear" w:color="auto" w:fill="FFFFFF"/>
        </w:rPr>
        <w:t>About Cryptogenic Stroke (stroke of unknown cause)</w:t>
      </w:r>
    </w:p>
    <w:p w14:paraId="20EF62D1" w14:textId="77777777" w:rsidR="00214089" w:rsidRPr="00C1634B" w:rsidRDefault="00214089" w:rsidP="00214089">
      <w:pPr>
        <w:rPr>
          <w:rFonts w:ascii="Effra" w:hAnsi="Effra" w:cs="Arial"/>
          <w:b/>
          <w:bCs/>
          <w:kern w:val="36"/>
          <w:sz w:val="22"/>
          <w:szCs w:val="22"/>
        </w:rPr>
      </w:pPr>
      <w:r w:rsidRPr="00C1634B">
        <w:rPr>
          <w:rFonts w:ascii="Effra" w:hAnsi="Effra"/>
          <w:sz w:val="22"/>
          <w:szCs w:val="22"/>
          <w:shd w:val="clear" w:color="auto" w:fill="FFFFFF"/>
        </w:rPr>
        <w:t xml:space="preserve">A stroke happens when a blood vessel in the brain is suddenly blocked or bursts, resulting in damage to the brain tissue. The majority of strokes occur as a result of an obstruction, such as a blood clot. Atrial fibrillation is a major risk factor for stroke. An unexplained (or cryptogenic) stroke requires further testing, and long-term cardiac monitoring can unlock answers. </w:t>
      </w:r>
    </w:p>
    <w:p w14:paraId="759C4C10" w14:textId="77777777" w:rsidR="00436DA7" w:rsidRPr="00C1634B" w:rsidRDefault="00436DA7" w:rsidP="00202566">
      <w:pPr>
        <w:rPr>
          <w:rFonts w:ascii="Effra" w:hAnsi="Effra" w:cs="Arial"/>
          <w:b/>
          <w:bCs/>
          <w:kern w:val="36"/>
          <w:sz w:val="22"/>
          <w:szCs w:val="22"/>
        </w:rPr>
      </w:pPr>
    </w:p>
    <w:p w14:paraId="65963472" w14:textId="5B26D1BC" w:rsidR="00202566" w:rsidRPr="00C1634B" w:rsidRDefault="00202566" w:rsidP="00202566">
      <w:pPr>
        <w:rPr>
          <w:rFonts w:ascii="Effra" w:hAnsi="Effra" w:cs="Arial"/>
          <w:b/>
          <w:bCs/>
          <w:kern w:val="36"/>
          <w:sz w:val="22"/>
          <w:szCs w:val="22"/>
        </w:rPr>
      </w:pPr>
      <w:r w:rsidRPr="00C1634B">
        <w:rPr>
          <w:rFonts w:ascii="Effra" w:hAnsi="Effra" w:cs="Arial"/>
          <w:b/>
          <w:bCs/>
          <w:kern w:val="36"/>
          <w:sz w:val="22"/>
          <w:szCs w:val="22"/>
        </w:rPr>
        <w:t>LINQ II System Features</w:t>
      </w:r>
    </w:p>
    <w:p w14:paraId="5E49A22A" w14:textId="58988F1D" w:rsidR="00202566" w:rsidRPr="00E77A3D" w:rsidRDefault="00202566" w:rsidP="004F5E90">
      <w:pPr>
        <w:numPr>
          <w:ilvl w:val="1"/>
          <w:numId w:val="2"/>
        </w:numPr>
        <w:rPr>
          <w:rFonts w:ascii="Effra" w:hAnsi="Effra" w:cs="Arial"/>
          <w:bCs/>
          <w:kern w:val="36"/>
          <w:sz w:val="22"/>
          <w:szCs w:val="22"/>
        </w:rPr>
      </w:pPr>
      <w:bookmarkStart w:id="1" w:name="_Hlk39155736"/>
      <w:r w:rsidRPr="00C1634B">
        <w:rPr>
          <w:rFonts w:ascii="Effra" w:hAnsi="Effra" w:cs="Arial"/>
          <w:b/>
          <w:bCs/>
          <w:iCs/>
          <w:kern w:val="36"/>
          <w:sz w:val="22"/>
          <w:szCs w:val="22"/>
        </w:rPr>
        <w:t>Accuracy</w:t>
      </w:r>
      <w:r w:rsidRPr="00C1634B">
        <w:rPr>
          <w:rFonts w:ascii="Effra" w:hAnsi="Effra" w:cs="Arial"/>
          <w:bCs/>
          <w:iCs/>
          <w:kern w:val="36"/>
          <w:sz w:val="22"/>
          <w:szCs w:val="22"/>
        </w:rPr>
        <w:t xml:space="preserve">: </w:t>
      </w:r>
      <w:bookmarkStart w:id="2" w:name="_Hlk38879981"/>
      <w:r w:rsidRPr="00C1634B">
        <w:rPr>
          <w:rFonts w:ascii="Effra" w:hAnsi="Effra" w:cs="Arial"/>
          <w:bCs/>
          <w:kern w:val="36"/>
          <w:sz w:val="22"/>
          <w:szCs w:val="22"/>
        </w:rPr>
        <w:t>The LINQ II device has</w:t>
      </w:r>
      <w:r w:rsidR="001B5F37" w:rsidRPr="00C1634B">
        <w:rPr>
          <w:rFonts w:ascii="Effra" w:hAnsi="Effra" w:cs="Arial"/>
          <w:bCs/>
          <w:kern w:val="36"/>
          <w:sz w:val="22"/>
          <w:szCs w:val="22"/>
        </w:rPr>
        <w:t xml:space="preserve"> the lowest published</w:t>
      </w:r>
      <w:r w:rsidRPr="00C1634B">
        <w:rPr>
          <w:rFonts w:ascii="Effra" w:hAnsi="Effra" w:cs="Arial"/>
          <w:bCs/>
          <w:kern w:val="36"/>
          <w:sz w:val="22"/>
          <w:szCs w:val="22"/>
        </w:rPr>
        <w:t xml:space="preserve"> rates of false </w:t>
      </w:r>
      <w:r w:rsidR="00744DB5">
        <w:rPr>
          <w:rFonts w:ascii="Effra" w:hAnsi="Effra" w:cs="Arial"/>
          <w:bCs/>
          <w:kern w:val="36"/>
          <w:sz w:val="22"/>
          <w:szCs w:val="22"/>
        </w:rPr>
        <w:t xml:space="preserve">pause </w:t>
      </w:r>
      <w:r w:rsidR="004F5E90" w:rsidRPr="00C1634B">
        <w:rPr>
          <w:rFonts w:ascii="Effra" w:hAnsi="Effra" w:cs="Arial"/>
          <w:bCs/>
          <w:kern w:val="36"/>
          <w:sz w:val="22"/>
          <w:szCs w:val="22"/>
        </w:rPr>
        <w:t>detections</w:t>
      </w:r>
      <w:r w:rsidR="000772F5" w:rsidRPr="00C1634B">
        <w:rPr>
          <w:rFonts w:ascii="Effra" w:hAnsi="Effra" w:cs="Arial"/>
          <w:bCs/>
          <w:kern w:val="36"/>
          <w:sz w:val="22"/>
          <w:szCs w:val="22"/>
        </w:rPr>
        <w:t xml:space="preserve"> compared to previous ICMs</w:t>
      </w:r>
      <w:r w:rsidR="00CA4BAF">
        <w:rPr>
          <w:rFonts w:ascii="Effra" w:hAnsi="Effra" w:cs="Arial"/>
          <w:bCs/>
          <w:kern w:val="36"/>
          <w:sz w:val="22"/>
          <w:szCs w:val="22"/>
        </w:rPr>
        <w:t>.</w:t>
      </w:r>
      <w:r w:rsidR="00070D1A">
        <w:rPr>
          <w:rFonts w:ascii="Effra" w:hAnsi="Effra" w:cs="Arial"/>
          <w:bCs/>
          <w:kern w:val="36"/>
          <w:sz w:val="22"/>
          <w:szCs w:val="22"/>
          <w:vertAlign w:val="superscript"/>
        </w:rPr>
        <w:t>2-5</w:t>
      </w:r>
      <w:r w:rsidRPr="00C1634B">
        <w:rPr>
          <w:rFonts w:ascii="Effra" w:hAnsi="Effra" w:cs="Arial"/>
          <w:bCs/>
          <w:kern w:val="36"/>
          <w:sz w:val="22"/>
          <w:szCs w:val="22"/>
        </w:rPr>
        <w:t xml:space="preserve"> </w:t>
      </w:r>
      <w:bookmarkEnd w:id="2"/>
      <w:r w:rsidR="00870C98" w:rsidRPr="00C1634B">
        <w:rPr>
          <w:rFonts w:ascii="Effra" w:hAnsi="Effra" w:cs="Arial"/>
          <w:bCs/>
          <w:kern w:val="36"/>
          <w:sz w:val="22"/>
          <w:szCs w:val="22"/>
        </w:rPr>
        <w:t>Clinicians</w:t>
      </w:r>
      <w:r w:rsidRPr="00C1634B">
        <w:rPr>
          <w:rFonts w:ascii="Effra" w:hAnsi="Effra" w:cs="Arial"/>
          <w:bCs/>
          <w:kern w:val="36"/>
          <w:sz w:val="22"/>
          <w:szCs w:val="22"/>
        </w:rPr>
        <w:t xml:space="preserve"> spend 33 percent less time reviewing ICM transmissions with this device,</w:t>
      </w:r>
      <w:r w:rsidR="00070D1A">
        <w:rPr>
          <w:rFonts w:ascii="Effra" w:hAnsi="Effra" w:cs="Arial"/>
          <w:bCs/>
          <w:kern w:val="36"/>
          <w:sz w:val="22"/>
          <w:szCs w:val="22"/>
          <w:vertAlign w:val="superscript"/>
        </w:rPr>
        <w:t>6</w:t>
      </w:r>
      <w:r w:rsidRPr="00C1634B">
        <w:rPr>
          <w:rFonts w:ascii="Effra" w:hAnsi="Effra" w:cs="Arial"/>
          <w:bCs/>
          <w:kern w:val="36"/>
          <w:sz w:val="22"/>
          <w:szCs w:val="22"/>
        </w:rPr>
        <w:t xml:space="preserve"> resulting in potential efficiencies and reduced costs due to a more streamlined workflow. </w:t>
      </w:r>
    </w:p>
    <w:p w14:paraId="49DF19D9" w14:textId="6FB73F26" w:rsidR="00202566" w:rsidRPr="00E77A3D" w:rsidRDefault="00202566" w:rsidP="00202566">
      <w:pPr>
        <w:numPr>
          <w:ilvl w:val="0"/>
          <w:numId w:val="3"/>
        </w:numPr>
        <w:rPr>
          <w:rFonts w:ascii="Effra" w:hAnsi="Effra" w:cs="Arial"/>
          <w:bCs/>
          <w:iCs/>
          <w:kern w:val="36"/>
          <w:sz w:val="22"/>
          <w:szCs w:val="22"/>
        </w:rPr>
      </w:pPr>
      <w:r w:rsidRPr="00E77A3D">
        <w:rPr>
          <w:rFonts w:ascii="Effra" w:hAnsi="Effra" w:cs="Arial"/>
          <w:b/>
          <w:bCs/>
          <w:iCs/>
          <w:kern w:val="36"/>
          <w:sz w:val="22"/>
          <w:szCs w:val="22"/>
        </w:rPr>
        <w:t xml:space="preserve">Remote Patient Management: </w:t>
      </w:r>
      <w:r w:rsidRPr="00E77A3D">
        <w:rPr>
          <w:rFonts w:ascii="Effra" w:hAnsi="Effra" w:cs="Arial"/>
          <w:bCs/>
          <w:iCs/>
          <w:kern w:val="36"/>
          <w:sz w:val="22"/>
          <w:szCs w:val="22"/>
        </w:rPr>
        <w:t>The</w:t>
      </w:r>
      <w:r w:rsidRPr="00E77A3D">
        <w:rPr>
          <w:rFonts w:ascii="Effra" w:hAnsi="Effra" w:cs="Arial"/>
          <w:b/>
          <w:bCs/>
          <w:iCs/>
          <w:kern w:val="36"/>
          <w:sz w:val="22"/>
          <w:szCs w:val="22"/>
        </w:rPr>
        <w:t xml:space="preserve"> </w:t>
      </w:r>
      <w:r w:rsidRPr="00E77A3D">
        <w:rPr>
          <w:rFonts w:ascii="Effra" w:hAnsi="Effra" w:cs="Arial"/>
          <w:bCs/>
          <w:iCs/>
          <w:kern w:val="36"/>
          <w:sz w:val="22"/>
          <w:szCs w:val="22"/>
        </w:rPr>
        <w:t>LINQ II is the</w:t>
      </w:r>
      <w:r w:rsidR="00C74D58" w:rsidRPr="00E77A3D">
        <w:rPr>
          <w:rFonts w:ascii="Effra" w:hAnsi="Effra" w:cs="Arial"/>
          <w:bCs/>
          <w:iCs/>
          <w:kern w:val="36"/>
          <w:sz w:val="22"/>
          <w:szCs w:val="22"/>
        </w:rPr>
        <w:t xml:space="preserve"> world’s first</w:t>
      </w:r>
      <w:r w:rsidRPr="00E77A3D">
        <w:rPr>
          <w:rFonts w:ascii="Effra" w:hAnsi="Effra" w:cs="Arial"/>
          <w:bCs/>
          <w:iCs/>
          <w:kern w:val="36"/>
          <w:sz w:val="22"/>
          <w:szCs w:val="22"/>
        </w:rPr>
        <w:t xml:space="preserve"> ICM to offer remote programming, saving time for clinicians and reducing the need for patients to come into the office to have their device settings adjusted in-person</w:t>
      </w:r>
      <w:r w:rsidR="00CA4BAF">
        <w:rPr>
          <w:rFonts w:ascii="Effra" w:hAnsi="Effra" w:cs="Arial"/>
          <w:bCs/>
          <w:iCs/>
          <w:kern w:val="36"/>
          <w:sz w:val="22"/>
          <w:szCs w:val="22"/>
        </w:rPr>
        <w:t>.</w:t>
      </w:r>
      <w:r w:rsidR="00781BAF" w:rsidRPr="00E77A3D">
        <w:rPr>
          <w:rFonts w:ascii="Effra" w:hAnsi="Effra" w:cs="Arial"/>
          <w:bCs/>
          <w:iCs/>
          <w:kern w:val="36"/>
          <w:sz w:val="22"/>
          <w:szCs w:val="22"/>
        </w:rPr>
        <w:t xml:space="preserve"> </w:t>
      </w:r>
      <w:r w:rsidR="00070D1A">
        <w:rPr>
          <w:rFonts w:ascii="Effra" w:hAnsi="Effra" w:cs="Arial"/>
          <w:bCs/>
          <w:iCs/>
          <w:kern w:val="36"/>
          <w:sz w:val="22"/>
          <w:szCs w:val="22"/>
          <w:vertAlign w:val="superscript"/>
        </w:rPr>
        <w:t>1,6</w:t>
      </w:r>
    </w:p>
    <w:p w14:paraId="0DD65020" w14:textId="6A820153" w:rsidR="0045065D" w:rsidRPr="00E17B9F" w:rsidRDefault="0045065D" w:rsidP="0045065D">
      <w:pPr>
        <w:numPr>
          <w:ilvl w:val="1"/>
          <w:numId w:val="3"/>
        </w:numPr>
        <w:rPr>
          <w:rFonts w:ascii="Effra" w:hAnsi="Effra" w:cs="Arial"/>
          <w:bCs/>
          <w:iCs/>
          <w:kern w:val="36"/>
          <w:sz w:val="22"/>
          <w:szCs w:val="22"/>
        </w:rPr>
      </w:pPr>
      <w:r w:rsidRPr="0045065D">
        <w:rPr>
          <w:rFonts w:ascii="Effra" w:hAnsi="Effra" w:cs="Arial"/>
          <w:iCs/>
          <w:kern w:val="36"/>
          <w:sz w:val="22"/>
          <w:szCs w:val="22"/>
        </w:rPr>
        <w:lastRenderedPageBreak/>
        <w:t>Patients</w:t>
      </w:r>
      <w:r>
        <w:rPr>
          <w:rFonts w:ascii="Effra" w:hAnsi="Effra" w:cs="Arial"/>
          <w:b/>
          <w:bCs/>
          <w:iCs/>
          <w:kern w:val="36"/>
          <w:sz w:val="22"/>
          <w:szCs w:val="22"/>
        </w:rPr>
        <w:t xml:space="preserve"> </w:t>
      </w:r>
      <w:r w:rsidRPr="0045065D">
        <w:rPr>
          <w:rFonts w:ascii="Effra" w:hAnsi="Effra" w:cs="Arial"/>
          <w:bCs/>
          <w:kern w:val="36"/>
          <w:sz w:val="22"/>
          <w:szCs w:val="22"/>
        </w:rPr>
        <w:t xml:space="preserve">with the LINQ II ICM can choose monitoring options to fit their lifestyles and </w:t>
      </w:r>
      <w:r w:rsidRPr="009A6B80">
        <w:rPr>
          <w:rFonts w:ascii="Effra" w:hAnsi="Effra" w:cs="Arial"/>
          <w:bCs/>
          <w:kern w:val="36"/>
          <w:sz w:val="22"/>
          <w:szCs w:val="22"/>
        </w:rPr>
        <w:t xml:space="preserve">increase remote monitoring </w:t>
      </w:r>
      <w:r w:rsidR="009A6B80" w:rsidRPr="009A6B80">
        <w:rPr>
          <w:rFonts w:ascii="Effra" w:hAnsi="Effra" w:cs="Arial"/>
          <w:bCs/>
          <w:kern w:val="36"/>
          <w:sz w:val="22"/>
          <w:szCs w:val="22"/>
        </w:rPr>
        <w:t>compliance</w:t>
      </w:r>
      <w:r w:rsidRPr="009A6B80">
        <w:rPr>
          <w:rFonts w:ascii="Effra" w:hAnsi="Effra" w:cs="Arial"/>
          <w:bCs/>
          <w:kern w:val="36"/>
          <w:sz w:val="22"/>
          <w:szCs w:val="22"/>
        </w:rPr>
        <w:t>, potentially</w:t>
      </w:r>
      <w:r w:rsidRPr="0045065D">
        <w:rPr>
          <w:rFonts w:ascii="Effra" w:hAnsi="Effra" w:cs="Arial"/>
          <w:bCs/>
          <w:kern w:val="36"/>
          <w:sz w:val="22"/>
          <w:szCs w:val="22"/>
        </w:rPr>
        <w:t xml:space="preserve"> leading to improved patient outcomes.</w:t>
      </w:r>
    </w:p>
    <w:p w14:paraId="1118F779" w14:textId="30A24215" w:rsidR="00202566" w:rsidRPr="00AA7FA9" w:rsidRDefault="00202566" w:rsidP="004F5E90">
      <w:pPr>
        <w:numPr>
          <w:ilvl w:val="1"/>
          <w:numId w:val="3"/>
        </w:numPr>
        <w:rPr>
          <w:rFonts w:ascii="Effra" w:hAnsi="Effra" w:cs="Arial"/>
          <w:bCs/>
          <w:iCs/>
          <w:kern w:val="36"/>
          <w:sz w:val="22"/>
          <w:szCs w:val="22"/>
        </w:rPr>
      </w:pPr>
      <w:r w:rsidRPr="00E17B9F">
        <w:rPr>
          <w:rFonts w:ascii="Effra" w:hAnsi="Effra" w:cs="Arial"/>
          <w:bCs/>
          <w:kern w:val="36"/>
          <w:sz w:val="22"/>
          <w:szCs w:val="22"/>
        </w:rPr>
        <w:t>LINQ II ICM includes BlueSync™ technology that enables secure</w:t>
      </w:r>
      <w:r w:rsidR="001653DC">
        <w:rPr>
          <w:rFonts w:ascii="Effra" w:hAnsi="Effra" w:cs="Arial"/>
          <w:bCs/>
          <w:kern w:val="36"/>
          <w:sz w:val="22"/>
          <w:szCs w:val="22"/>
        </w:rPr>
        <w:t xml:space="preserve"> </w:t>
      </w:r>
      <w:r w:rsidRPr="00AA7FA9">
        <w:rPr>
          <w:rFonts w:ascii="Effra" w:hAnsi="Effra" w:cs="Arial"/>
          <w:bCs/>
          <w:kern w:val="36"/>
          <w:sz w:val="22"/>
          <w:szCs w:val="22"/>
        </w:rPr>
        <w:t xml:space="preserve">communication via Bluetooth, providing clinicians timely alerts of clinically relevant patient data. Patients can use their smartphone to automatically transfer device data via the </w:t>
      </w:r>
      <w:proofErr w:type="spellStart"/>
      <w:r w:rsidRPr="00AA7FA9">
        <w:rPr>
          <w:rFonts w:ascii="Effra" w:hAnsi="Effra" w:cs="Arial"/>
          <w:bCs/>
          <w:kern w:val="36"/>
          <w:sz w:val="22"/>
          <w:szCs w:val="22"/>
        </w:rPr>
        <w:t>MyCareLink</w:t>
      </w:r>
      <w:proofErr w:type="spellEnd"/>
      <w:r w:rsidRPr="00AA7FA9">
        <w:rPr>
          <w:rFonts w:ascii="Effra" w:hAnsi="Effra" w:cs="Arial"/>
          <w:bCs/>
          <w:kern w:val="36"/>
          <w:sz w:val="22"/>
          <w:szCs w:val="22"/>
        </w:rPr>
        <w:t xml:space="preserve"> Heart™ mobile app.</w:t>
      </w:r>
    </w:p>
    <w:bookmarkEnd w:id="1"/>
    <w:p w14:paraId="2B64F936" w14:textId="63FE790F" w:rsidR="009D550B" w:rsidRPr="00EF0C78" w:rsidRDefault="00EF0C78" w:rsidP="00EF0C78">
      <w:pPr>
        <w:pStyle w:val="ListParagraph"/>
        <w:numPr>
          <w:ilvl w:val="0"/>
          <w:numId w:val="3"/>
        </w:numPr>
        <w:rPr>
          <w:rFonts w:ascii="Effra" w:hAnsi="Effra" w:cs="Arial"/>
          <w:b/>
          <w:bCs/>
          <w:kern w:val="36"/>
          <w:sz w:val="22"/>
          <w:szCs w:val="22"/>
        </w:rPr>
      </w:pPr>
      <w:r>
        <w:rPr>
          <w:rFonts w:ascii="Effra" w:hAnsi="Effra" w:cs="Arial"/>
          <w:b/>
          <w:bCs/>
          <w:iCs/>
          <w:kern w:val="36"/>
          <w:sz w:val="22"/>
          <w:szCs w:val="22"/>
        </w:rPr>
        <w:t xml:space="preserve">Increased Longevity: </w:t>
      </w:r>
      <w:r w:rsidR="00202566" w:rsidRPr="00EF0C78">
        <w:rPr>
          <w:rFonts w:ascii="Effra" w:hAnsi="Effra" w:cs="Arial"/>
          <w:bCs/>
          <w:kern w:val="36"/>
          <w:sz w:val="22"/>
          <w:szCs w:val="22"/>
        </w:rPr>
        <w:t xml:space="preserve">The LINQ II device offers </w:t>
      </w:r>
      <w:r w:rsidR="00BD0709" w:rsidRPr="00EF0C78">
        <w:rPr>
          <w:rFonts w:ascii="Effra" w:hAnsi="Effra" w:cs="Arial"/>
          <w:bCs/>
          <w:kern w:val="36"/>
          <w:sz w:val="22"/>
          <w:szCs w:val="22"/>
        </w:rPr>
        <w:t>improved</w:t>
      </w:r>
      <w:r w:rsidR="00202566" w:rsidRPr="00EF0C78">
        <w:rPr>
          <w:rFonts w:ascii="Effra" w:hAnsi="Effra" w:cs="Arial"/>
          <w:bCs/>
          <w:kern w:val="36"/>
          <w:sz w:val="22"/>
          <w:szCs w:val="22"/>
        </w:rPr>
        <w:t xml:space="preserve"> duration of continuous monitoring at 4.5 years</w:t>
      </w:r>
      <w:r w:rsidR="00AE258F" w:rsidRPr="00EF0C78">
        <w:rPr>
          <w:rFonts w:ascii="Effra" w:hAnsi="Effra" w:cs="Arial"/>
          <w:bCs/>
          <w:kern w:val="36"/>
          <w:sz w:val="22"/>
          <w:szCs w:val="22"/>
        </w:rPr>
        <w:t>*</w:t>
      </w:r>
      <w:r w:rsidR="00D16350" w:rsidRPr="00EF0C78">
        <w:rPr>
          <w:rFonts w:ascii="Effra" w:hAnsi="Effra" w:cs="Arial"/>
          <w:bCs/>
          <w:kern w:val="36"/>
          <w:sz w:val="22"/>
          <w:szCs w:val="22"/>
          <w:vertAlign w:val="superscript"/>
        </w:rPr>
        <w:t>1</w:t>
      </w:r>
      <w:r w:rsidR="00235A48" w:rsidRPr="00235A48">
        <w:rPr>
          <w:rFonts w:ascii="Effra" w:hAnsi="Effra" w:cs="Arial"/>
          <w:bCs/>
          <w:kern w:val="36"/>
          <w:sz w:val="22"/>
          <w:szCs w:val="22"/>
        </w:rPr>
        <w:t>,</w:t>
      </w:r>
      <w:r w:rsidR="00C90BCF" w:rsidRPr="00235A48">
        <w:rPr>
          <w:rFonts w:ascii="Effra" w:hAnsi="Effra" w:cs="Arial"/>
          <w:bCs/>
          <w:kern w:val="36"/>
          <w:sz w:val="22"/>
          <w:szCs w:val="22"/>
        </w:rPr>
        <w:t xml:space="preserve"> </w:t>
      </w:r>
      <w:r w:rsidR="00202566" w:rsidRPr="00EF0C78">
        <w:rPr>
          <w:rFonts w:ascii="Effra" w:hAnsi="Effra" w:cs="Arial"/>
          <w:bCs/>
          <w:kern w:val="36"/>
          <w:sz w:val="22"/>
          <w:szCs w:val="22"/>
        </w:rPr>
        <w:t xml:space="preserve">providing physicians greater insights into patient data, to aid in their diagnoses and better manage chronic cardiac arrhythmias. </w:t>
      </w:r>
    </w:p>
    <w:p w14:paraId="5C568D20" w14:textId="77777777" w:rsidR="007F025D" w:rsidRPr="00DE4D87" w:rsidRDefault="007F025D" w:rsidP="00DE4D87">
      <w:pPr>
        <w:rPr>
          <w:rFonts w:ascii="Effra" w:hAnsi="Effra" w:cs="Arial"/>
          <w:b/>
          <w:bCs/>
          <w:iCs/>
          <w:kern w:val="36"/>
          <w:sz w:val="22"/>
          <w:szCs w:val="22"/>
        </w:rPr>
      </w:pPr>
    </w:p>
    <w:p w14:paraId="5AE6328F" w14:textId="77777777" w:rsidR="00720673" w:rsidRPr="00AA7FA9" w:rsidRDefault="00720673" w:rsidP="006D47A7">
      <w:pPr>
        <w:rPr>
          <w:rFonts w:ascii="Effra" w:hAnsi="Effra" w:cs="Arial"/>
          <w:b/>
          <w:bCs/>
          <w:kern w:val="36"/>
          <w:sz w:val="22"/>
          <w:szCs w:val="22"/>
        </w:rPr>
      </w:pPr>
    </w:p>
    <w:p w14:paraId="01F02052" w14:textId="37FC08B1" w:rsidR="006D47A7" w:rsidRPr="00AA7FA9" w:rsidRDefault="006D47A7" w:rsidP="006D47A7">
      <w:pPr>
        <w:rPr>
          <w:rFonts w:ascii="Effra" w:hAnsi="Effra" w:cs="Arial"/>
          <w:b/>
          <w:bCs/>
          <w:kern w:val="36"/>
          <w:sz w:val="22"/>
          <w:szCs w:val="22"/>
        </w:rPr>
      </w:pPr>
      <w:r w:rsidRPr="00AA7FA9">
        <w:rPr>
          <w:rFonts w:ascii="Effra" w:hAnsi="Effra" w:cs="Arial"/>
          <w:b/>
          <w:bCs/>
          <w:kern w:val="36"/>
          <w:sz w:val="22"/>
          <w:szCs w:val="22"/>
        </w:rPr>
        <w:t xml:space="preserve">How the </w:t>
      </w:r>
      <w:r w:rsidR="0085591F" w:rsidRPr="00AA7FA9">
        <w:rPr>
          <w:rFonts w:ascii="Effra" w:hAnsi="Effra" w:cs="Arial"/>
          <w:b/>
          <w:bCs/>
          <w:kern w:val="36"/>
          <w:sz w:val="22"/>
          <w:szCs w:val="22"/>
        </w:rPr>
        <w:t>LINQ II</w:t>
      </w:r>
      <w:r w:rsidRPr="00AA7FA9">
        <w:rPr>
          <w:rFonts w:ascii="Effra" w:hAnsi="Effra" w:cs="Arial"/>
          <w:b/>
          <w:bCs/>
          <w:kern w:val="36"/>
          <w:sz w:val="22"/>
          <w:szCs w:val="22"/>
        </w:rPr>
        <w:t xml:space="preserve"> System Works </w:t>
      </w:r>
    </w:p>
    <w:p w14:paraId="5CA101C2" w14:textId="367CABE1" w:rsidR="000E7CCE" w:rsidRPr="00E17B9F" w:rsidRDefault="00317399" w:rsidP="000E7CCE">
      <w:pPr>
        <w:rPr>
          <w:rFonts w:ascii="Effra" w:hAnsi="Effra" w:cstheme="minorHAnsi"/>
          <w:bCs/>
          <w:sz w:val="22"/>
          <w:szCs w:val="22"/>
        </w:rPr>
      </w:pPr>
      <w:r w:rsidRPr="00AA7FA9">
        <w:rPr>
          <w:rFonts w:ascii="Effra" w:hAnsi="Effra" w:cstheme="minorHAnsi"/>
          <w:bCs/>
          <w:sz w:val="22"/>
          <w:szCs w:val="22"/>
        </w:rPr>
        <w:t xml:space="preserve">Worldwide, more </w:t>
      </w:r>
      <w:r w:rsidRPr="00D36D33">
        <w:rPr>
          <w:rFonts w:ascii="Effra" w:hAnsi="Effra" w:cstheme="minorHAnsi"/>
          <w:bCs/>
          <w:sz w:val="22"/>
          <w:szCs w:val="22"/>
        </w:rPr>
        <w:t xml:space="preserve">than </w:t>
      </w:r>
      <w:r w:rsidR="00BE7D74">
        <w:rPr>
          <w:rFonts w:ascii="Effra" w:hAnsi="Effra" w:cstheme="minorHAnsi"/>
          <w:bCs/>
          <w:sz w:val="22"/>
          <w:szCs w:val="22"/>
        </w:rPr>
        <w:t xml:space="preserve">1 </w:t>
      </w:r>
      <w:r w:rsidR="00D36D33">
        <w:rPr>
          <w:rFonts w:ascii="Effra" w:hAnsi="Effra" w:cstheme="minorHAnsi"/>
          <w:bCs/>
          <w:sz w:val="22"/>
          <w:szCs w:val="22"/>
        </w:rPr>
        <w:t>m</w:t>
      </w:r>
      <w:r w:rsidR="009F0263" w:rsidRPr="00D36D33">
        <w:rPr>
          <w:rFonts w:ascii="Effra" w:hAnsi="Effra" w:cstheme="minorHAnsi"/>
          <w:bCs/>
          <w:sz w:val="22"/>
          <w:szCs w:val="22"/>
        </w:rPr>
        <w:t>illion</w:t>
      </w:r>
      <w:r w:rsidRPr="00D36D33">
        <w:rPr>
          <w:rFonts w:ascii="Effra" w:hAnsi="Effra" w:cstheme="minorHAnsi"/>
          <w:bCs/>
          <w:sz w:val="22"/>
          <w:szCs w:val="22"/>
        </w:rPr>
        <w:t xml:space="preserve"> patients have received a</w:t>
      </w:r>
      <w:r w:rsidRPr="00E17B9F">
        <w:rPr>
          <w:rFonts w:ascii="Effra" w:hAnsi="Effra" w:cstheme="minorHAnsi"/>
          <w:bCs/>
          <w:sz w:val="22"/>
          <w:szCs w:val="22"/>
        </w:rPr>
        <w:t xml:space="preserve"> Medtronic ICM. </w:t>
      </w:r>
      <w:bookmarkStart w:id="3" w:name="_Hlk41659098"/>
      <w:r w:rsidR="00084F6A">
        <w:rPr>
          <w:rFonts w:ascii="Effra" w:hAnsi="Effra" w:cs="Arial"/>
          <w:sz w:val="22"/>
          <w:szCs w:val="22"/>
        </w:rPr>
        <w:t>The LINQ II device is one-third the size of a AAA battery</w:t>
      </w:r>
      <w:bookmarkEnd w:id="3"/>
      <w:r w:rsidR="000A296C">
        <w:rPr>
          <w:rFonts w:ascii="Effra" w:hAnsi="Effra" w:cs="Arial"/>
          <w:sz w:val="22"/>
          <w:szCs w:val="22"/>
        </w:rPr>
        <w:t xml:space="preserve">, </w:t>
      </w:r>
      <w:r w:rsidR="00084F6A" w:rsidRPr="00664181">
        <w:rPr>
          <w:rFonts w:ascii="Effra" w:hAnsi="Effra" w:cs="Arial"/>
          <w:sz w:val="22"/>
          <w:szCs w:val="22"/>
        </w:rPr>
        <w:t xml:space="preserve">placed just beneath the skin through a small incision </w:t>
      </w:r>
      <w:r w:rsidR="00084F6A">
        <w:rPr>
          <w:rFonts w:ascii="Effra" w:hAnsi="Effra" w:cs="Arial"/>
          <w:sz w:val="22"/>
          <w:szCs w:val="22"/>
        </w:rPr>
        <w:t>(</w:t>
      </w:r>
      <w:r w:rsidR="00084F6A" w:rsidRPr="00664181">
        <w:rPr>
          <w:rFonts w:ascii="Effra" w:hAnsi="Effra" w:cs="Arial"/>
          <w:sz w:val="22"/>
          <w:szCs w:val="22"/>
        </w:rPr>
        <w:t xml:space="preserve">less than </w:t>
      </w:r>
      <w:r w:rsidR="00084F6A">
        <w:rPr>
          <w:rFonts w:ascii="Effra" w:hAnsi="Effra" w:cs="Arial"/>
          <w:sz w:val="22"/>
          <w:szCs w:val="22"/>
        </w:rPr>
        <w:t>one</w:t>
      </w:r>
      <w:r w:rsidR="00084F6A" w:rsidRPr="00664181">
        <w:rPr>
          <w:rFonts w:ascii="Effra" w:hAnsi="Effra" w:cs="Arial"/>
          <w:sz w:val="22"/>
          <w:szCs w:val="22"/>
        </w:rPr>
        <w:t xml:space="preserve"> cm</w:t>
      </w:r>
      <w:r w:rsidR="00084F6A" w:rsidRPr="00E77A3D">
        <w:rPr>
          <w:rFonts w:ascii="Effra" w:hAnsi="Effra" w:cs="Arial"/>
          <w:sz w:val="22"/>
          <w:szCs w:val="22"/>
        </w:rPr>
        <w:t>) in the upper left side of the chest</w:t>
      </w:r>
      <w:r w:rsidR="000A296C" w:rsidRPr="00E77A3D">
        <w:rPr>
          <w:rFonts w:ascii="Effra" w:hAnsi="Effra" w:cs="Arial"/>
          <w:sz w:val="22"/>
          <w:szCs w:val="22"/>
        </w:rPr>
        <w:t>,</w:t>
      </w:r>
      <w:r w:rsidR="00084F6A" w:rsidRPr="00E77A3D">
        <w:rPr>
          <w:rFonts w:ascii="Effra" w:hAnsi="Effra" w:cs="Arial"/>
          <w:sz w:val="22"/>
          <w:szCs w:val="22"/>
        </w:rPr>
        <w:t xml:space="preserve"> </w:t>
      </w:r>
      <w:r w:rsidR="000A296C" w:rsidRPr="00E77A3D">
        <w:rPr>
          <w:rFonts w:ascii="Effra" w:hAnsi="Effra" w:cs="Arial"/>
          <w:sz w:val="22"/>
          <w:szCs w:val="22"/>
        </w:rPr>
        <w:t>using</w:t>
      </w:r>
      <w:r w:rsidR="00084F6A" w:rsidRPr="00E77A3D">
        <w:rPr>
          <w:rFonts w:ascii="Effra" w:hAnsi="Effra" w:cs="Arial"/>
          <w:sz w:val="22"/>
          <w:szCs w:val="22"/>
        </w:rPr>
        <w:t xml:space="preserve"> </w:t>
      </w:r>
      <w:r w:rsidR="00202A95" w:rsidRPr="00E77A3D">
        <w:rPr>
          <w:rFonts w:ascii="Effra" w:hAnsi="Effra" w:cs="Arial"/>
          <w:sz w:val="22"/>
          <w:szCs w:val="22"/>
        </w:rPr>
        <w:t xml:space="preserve">a minimally invasive procedure. </w:t>
      </w:r>
      <w:r w:rsidR="000E7CCE" w:rsidRPr="00E77A3D">
        <w:rPr>
          <w:rFonts w:ascii="Effra" w:hAnsi="Effra" w:cs="Arial"/>
          <w:sz w:val="22"/>
          <w:szCs w:val="22"/>
          <w:shd w:val="clear" w:color="auto" w:fill="FFFFFF"/>
        </w:rPr>
        <w:t xml:space="preserve">The LINQ II ICM is the </w:t>
      </w:r>
      <w:r w:rsidR="006E5F25" w:rsidRPr="00E77A3D">
        <w:rPr>
          <w:rFonts w:ascii="Effra" w:hAnsi="Effra" w:cs="Arial"/>
          <w:sz w:val="22"/>
          <w:szCs w:val="22"/>
          <w:shd w:val="clear" w:color="auto" w:fill="FFFFFF"/>
        </w:rPr>
        <w:t xml:space="preserve">world’s </w:t>
      </w:r>
      <w:r w:rsidR="000E7CCE" w:rsidRPr="00E77A3D">
        <w:rPr>
          <w:rFonts w:ascii="Effra" w:hAnsi="Effra" w:cs="Arial"/>
          <w:sz w:val="22"/>
          <w:szCs w:val="22"/>
          <w:shd w:val="clear" w:color="auto" w:fill="FFFFFF"/>
        </w:rPr>
        <w:t xml:space="preserve">first to feature remote programming through the Medtronic </w:t>
      </w:r>
      <w:proofErr w:type="spellStart"/>
      <w:r w:rsidR="000E7CCE" w:rsidRPr="00E77A3D">
        <w:rPr>
          <w:rFonts w:ascii="Effra" w:hAnsi="Effra" w:cs="Arial"/>
          <w:sz w:val="22"/>
          <w:szCs w:val="22"/>
          <w:shd w:val="clear" w:color="auto" w:fill="FFFFFF"/>
        </w:rPr>
        <w:t>CareLink</w:t>
      </w:r>
      <w:proofErr w:type="spellEnd"/>
      <w:r w:rsidR="000E7CCE" w:rsidRPr="00E77A3D">
        <w:rPr>
          <w:rFonts w:ascii="Effra" w:hAnsi="Effra" w:cs="Calibri"/>
          <w:sz w:val="22"/>
          <w:szCs w:val="22"/>
          <w:shd w:val="clear" w:color="auto" w:fill="FFFFFF"/>
        </w:rPr>
        <w:t>™</w:t>
      </w:r>
      <w:r w:rsidR="000E7CCE" w:rsidRPr="00E77A3D">
        <w:rPr>
          <w:rFonts w:ascii="Effra" w:hAnsi="Effra" w:cs="Arial"/>
          <w:sz w:val="22"/>
          <w:szCs w:val="22"/>
          <w:shd w:val="clear" w:color="auto" w:fill="FFFFFF"/>
        </w:rPr>
        <w:t xml:space="preserve"> Network, which is </w:t>
      </w:r>
      <w:r w:rsidR="000E7CCE" w:rsidRPr="00E77A3D">
        <w:rPr>
          <w:rStyle w:val="e24kjd"/>
          <w:rFonts w:ascii="Effra" w:hAnsi="Effra" w:cs="Arial"/>
          <w:color w:val="222222"/>
          <w:sz w:val="22"/>
          <w:szCs w:val="22"/>
        </w:rPr>
        <w:t>used to remotely manage and monitor a patient's implanted Medtronic cardiac device</w:t>
      </w:r>
      <w:r w:rsidR="000E7CCE" w:rsidRPr="00E77A3D">
        <w:rPr>
          <w:rFonts w:ascii="Effra" w:hAnsi="Effra" w:cs="Arial"/>
          <w:sz w:val="22"/>
          <w:szCs w:val="22"/>
          <w:shd w:val="clear" w:color="auto" w:fill="FFFFFF"/>
        </w:rPr>
        <w:t>. Secure, two-way communication between</w:t>
      </w:r>
      <w:r w:rsidR="000E7CCE" w:rsidRPr="00AA7FA9">
        <w:rPr>
          <w:rFonts w:ascii="Effra" w:hAnsi="Effra" w:cs="Arial"/>
          <w:sz w:val="22"/>
          <w:szCs w:val="22"/>
          <w:shd w:val="clear" w:color="auto" w:fill="FFFFFF"/>
        </w:rPr>
        <w:t xml:space="preserve"> </w:t>
      </w:r>
      <w:proofErr w:type="spellStart"/>
      <w:r w:rsidR="000E7CCE" w:rsidRPr="00AA7FA9">
        <w:rPr>
          <w:rFonts w:ascii="Effra" w:hAnsi="Effra" w:cs="Arial"/>
          <w:sz w:val="22"/>
          <w:szCs w:val="22"/>
          <w:shd w:val="clear" w:color="auto" w:fill="FFFFFF"/>
        </w:rPr>
        <w:t>CareLink</w:t>
      </w:r>
      <w:proofErr w:type="spellEnd"/>
      <w:r w:rsidR="000E7CCE" w:rsidRPr="00AA7FA9">
        <w:rPr>
          <w:rFonts w:ascii="Effra" w:hAnsi="Effra" w:cs="Arial"/>
          <w:sz w:val="22"/>
          <w:szCs w:val="22"/>
          <w:shd w:val="clear" w:color="auto" w:fill="FFFFFF"/>
        </w:rPr>
        <w:t xml:space="preserve"> and the LINQ II ICM can help reduce both patient office visits and clinical review of repetitive data. </w:t>
      </w:r>
      <w:bookmarkStart w:id="4" w:name="_GoBack"/>
      <w:bookmarkEnd w:id="4"/>
    </w:p>
    <w:p w14:paraId="3D17F749" w14:textId="5B76849C" w:rsidR="00BD1A9F" w:rsidRDefault="00BD1A9F" w:rsidP="006D47A7">
      <w:pPr>
        <w:rPr>
          <w:rFonts w:ascii="Effra" w:hAnsi="Effra" w:cstheme="minorHAnsi"/>
          <w:bCs/>
          <w:sz w:val="22"/>
          <w:szCs w:val="22"/>
        </w:rPr>
      </w:pPr>
    </w:p>
    <w:p w14:paraId="51869472" w14:textId="77777777" w:rsidR="00BD1A9F" w:rsidRPr="00A424C4" w:rsidRDefault="00BD1A9F" w:rsidP="006D47A7">
      <w:pPr>
        <w:rPr>
          <w:rFonts w:ascii="Effra" w:hAnsi="Effra" w:cstheme="minorHAnsi"/>
          <w:bCs/>
          <w:sz w:val="22"/>
          <w:szCs w:val="22"/>
        </w:rPr>
      </w:pPr>
    </w:p>
    <w:p w14:paraId="5F243907" w14:textId="12BD7DD3" w:rsidR="00FC5198" w:rsidRPr="000B5584" w:rsidRDefault="00FC5198" w:rsidP="00FC5198">
      <w:pPr>
        <w:jc w:val="center"/>
        <w:rPr>
          <w:rFonts w:ascii="Effra" w:hAnsi="Effra" w:cs="Arial"/>
          <w:bCs/>
          <w:kern w:val="36"/>
          <w:sz w:val="22"/>
          <w:szCs w:val="22"/>
        </w:rPr>
      </w:pPr>
      <w:r w:rsidRPr="000B5584">
        <w:rPr>
          <w:rFonts w:ascii="Effra" w:hAnsi="Effra" w:cs="Arial"/>
          <w:bCs/>
          <w:kern w:val="36"/>
          <w:sz w:val="22"/>
          <w:szCs w:val="22"/>
        </w:rPr>
        <w:t># # #</w:t>
      </w:r>
      <w:bookmarkEnd w:id="0"/>
    </w:p>
    <w:p w14:paraId="0A90D0B6" w14:textId="12866D4A" w:rsidR="00FB5200" w:rsidRPr="000B5584" w:rsidRDefault="00FB5200" w:rsidP="00FC5198">
      <w:pPr>
        <w:jc w:val="center"/>
        <w:rPr>
          <w:rFonts w:ascii="Effra" w:hAnsi="Effra" w:cs="Arial"/>
          <w:bCs/>
          <w:kern w:val="36"/>
          <w:sz w:val="18"/>
          <w:szCs w:val="18"/>
        </w:rPr>
      </w:pPr>
    </w:p>
    <w:p w14:paraId="4A1B7D95" w14:textId="0A087DD8" w:rsidR="001D160A" w:rsidRDefault="001D160A" w:rsidP="001D160A">
      <w:pPr>
        <w:pStyle w:val="FootnoteText"/>
        <w:rPr>
          <w:rFonts w:ascii="Effra" w:hAnsi="Effra"/>
          <w:sz w:val="18"/>
          <w:szCs w:val="18"/>
        </w:rPr>
      </w:pPr>
      <w:r w:rsidRPr="000B5584">
        <w:rPr>
          <w:rFonts w:ascii="Effra" w:hAnsi="Effra"/>
          <w:sz w:val="18"/>
          <w:szCs w:val="18"/>
        </w:rPr>
        <w:t>* Nominal settings</w:t>
      </w:r>
    </w:p>
    <w:p w14:paraId="5F0685A0" w14:textId="77777777" w:rsidR="005A613D" w:rsidRPr="000B5584" w:rsidRDefault="005A613D" w:rsidP="001D160A">
      <w:pPr>
        <w:pStyle w:val="FootnoteText"/>
        <w:rPr>
          <w:rFonts w:ascii="Effra" w:hAnsi="Effra"/>
          <w:sz w:val="18"/>
          <w:szCs w:val="18"/>
        </w:rPr>
      </w:pPr>
    </w:p>
    <w:p w14:paraId="469DB69E" w14:textId="6F3F93E6" w:rsidR="00942CE3" w:rsidRDefault="00E7148E" w:rsidP="00942CE3">
      <w:pPr>
        <w:rPr>
          <w:rFonts w:ascii="Effra" w:hAnsi="Effra"/>
          <w:sz w:val="18"/>
          <w:szCs w:val="18"/>
        </w:rPr>
      </w:pPr>
      <w:r>
        <w:rPr>
          <w:rFonts w:ascii="Effra" w:hAnsi="Effra" w:cs="Arial"/>
          <w:sz w:val="18"/>
          <w:szCs w:val="18"/>
          <w:vertAlign w:val="superscript"/>
        </w:rPr>
        <w:t>1</w:t>
      </w:r>
      <w:r w:rsidR="00942CE3" w:rsidRPr="00AE258F">
        <w:rPr>
          <w:rFonts w:ascii="Effra" w:hAnsi="Effra"/>
          <w:sz w:val="18"/>
          <w:szCs w:val="18"/>
        </w:rPr>
        <w:t>LINQ II™ Clinician Manual. M974764A001.</w:t>
      </w:r>
    </w:p>
    <w:p w14:paraId="0B408E3F" w14:textId="7519DBC2" w:rsidR="00942CE3" w:rsidRPr="0084025D" w:rsidRDefault="00E7148E" w:rsidP="0084025D">
      <w:pPr>
        <w:rPr>
          <w:rFonts w:ascii="Effra" w:hAnsi="Effra"/>
          <w:sz w:val="18"/>
          <w:szCs w:val="18"/>
        </w:rPr>
      </w:pPr>
      <w:r>
        <w:rPr>
          <w:rFonts w:ascii="Effra" w:hAnsi="Effra"/>
          <w:sz w:val="18"/>
          <w:szCs w:val="18"/>
          <w:vertAlign w:val="superscript"/>
        </w:rPr>
        <w:t>2</w:t>
      </w:r>
      <w:r w:rsidR="00942CE3" w:rsidRPr="000B5584">
        <w:rPr>
          <w:rFonts w:ascii="Effra" w:hAnsi="Effra"/>
          <w:sz w:val="18"/>
          <w:szCs w:val="18"/>
        </w:rPr>
        <w:t xml:space="preserve">BiotronikBioMonitor™ 2 Technical Manual. </w:t>
      </w:r>
      <w:r w:rsidR="00942CE3" w:rsidRPr="00AE258F">
        <w:rPr>
          <w:rFonts w:ascii="Effra" w:hAnsi="Effra"/>
          <w:sz w:val="18"/>
          <w:szCs w:val="18"/>
        </w:rPr>
        <w:t>2017.</w:t>
      </w:r>
    </w:p>
    <w:p w14:paraId="770D9FC7" w14:textId="7C108F65" w:rsidR="00C90BCF" w:rsidRPr="00870C98" w:rsidRDefault="00E7148E" w:rsidP="00C90BCF">
      <w:pPr>
        <w:pStyle w:val="FootnoteText"/>
        <w:rPr>
          <w:rFonts w:ascii="Effra" w:hAnsi="Effra"/>
          <w:sz w:val="18"/>
          <w:szCs w:val="18"/>
        </w:rPr>
      </w:pPr>
      <w:r>
        <w:rPr>
          <w:rFonts w:ascii="Effra" w:hAnsi="Effra"/>
          <w:sz w:val="18"/>
          <w:szCs w:val="18"/>
          <w:vertAlign w:val="superscript"/>
        </w:rPr>
        <w:t>3</w:t>
      </w:r>
      <w:r w:rsidR="00C90BCF" w:rsidRPr="000B5584">
        <w:rPr>
          <w:rFonts w:ascii="Effra" w:hAnsi="Effra"/>
          <w:sz w:val="18"/>
          <w:szCs w:val="18"/>
        </w:rPr>
        <w:t xml:space="preserve">NölkerG, et al. </w:t>
      </w:r>
      <w:r w:rsidR="00C90BCF" w:rsidRPr="00870C98">
        <w:rPr>
          <w:rFonts w:ascii="Effra" w:hAnsi="Effra"/>
          <w:sz w:val="18"/>
          <w:szCs w:val="18"/>
        </w:rPr>
        <w:t xml:space="preserve">J Cardiovasc </w:t>
      </w:r>
      <w:proofErr w:type="spellStart"/>
      <w:r w:rsidR="00C90BCF" w:rsidRPr="00870C98">
        <w:rPr>
          <w:rFonts w:ascii="Effra" w:hAnsi="Effra"/>
          <w:sz w:val="18"/>
          <w:szCs w:val="18"/>
        </w:rPr>
        <w:t>Electrophysiol</w:t>
      </w:r>
      <w:proofErr w:type="spellEnd"/>
      <w:r w:rsidR="00C90BCF" w:rsidRPr="00870C98">
        <w:rPr>
          <w:rFonts w:ascii="Effra" w:hAnsi="Effra"/>
          <w:sz w:val="18"/>
          <w:szCs w:val="18"/>
        </w:rPr>
        <w:t>. 2016;27:1403-1410.</w:t>
      </w:r>
    </w:p>
    <w:p w14:paraId="60B780BD" w14:textId="225A0184" w:rsidR="00C90BCF" w:rsidRPr="00870C98" w:rsidRDefault="00E7148E" w:rsidP="00C90BCF">
      <w:pPr>
        <w:rPr>
          <w:rFonts w:ascii="Effra" w:hAnsi="Effra"/>
          <w:sz w:val="18"/>
          <w:szCs w:val="18"/>
        </w:rPr>
      </w:pPr>
      <w:r>
        <w:rPr>
          <w:rFonts w:ascii="Effra" w:hAnsi="Effra"/>
          <w:sz w:val="18"/>
          <w:szCs w:val="18"/>
          <w:vertAlign w:val="superscript"/>
        </w:rPr>
        <w:t>4</w:t>
      </w:r>
      <w:r w:rsidR="00C90BCF" w:rsidRPr="00870C98">
        <w:rPr>
          <w:rFonts w:ascii="Effra" w:hAnsi="Effra"/>
          <w:sz w:val="18"/>
          <w:szCs w:val="18"/>
        </w:rPr>
        <w:t xml:space="preserve">Confirm Rx™ ICM DM3500 FDA Clearance Letter. 2017. </w:t>
      </w:r>
    </w:p>
    <w:p w14:paraId="01EDDC9F" w14:textId="71F8E71D" w:rsidR="00C90BCF" w:rsidRPr="008E113C" w:rsidRDefault="00E7148E" w:rsidP="00C90BCF">
      <w:pPr>
        <w:rPr>
          <w:rFonts w:ascii="Effra" w:hAnsi="Effra"/>
          <w:sz w:val="18"/>
          <w:szCs w:val="18"/>
        </w:rPr>
      </w:pPr>
      <w:r>
        <w:rPr>
          <w:rFonts w:ascii="Effra" w:hAnsi="Effra" w:cs="Arial"/>
          <w:bCs/>
          <w:sz w:val="18"/>
          <w:szCs w:val="18"/>
          <w:vertAlign w:val="superscript"/>
        </w:rPr>
        <w:t>5</w:t>
      </w:r>
      <w:r w:rsidR="002E769A" w:rsidRPr="008E113C">
        <w:rPr>
          <w:rFonts w:ascii="Effra" w:hAnsi="Effra" w:cs="Arial"/>
          <w:bCs/>
          <w:sz w:val="18"/>
          <w:szCs w:val="18"/>
        </w:rPr>
        <w:t xml:space="preserve">PürerfellnerH, et al. </w:t>
      </w:r>
      <w:proofErr w:type="spellStart"/>
      <w:r w:rsidR="002E769A" w:rsidRPr="008E113C">
        <w:rPr>
          <w:rFonts w:ascii="Effra" w:hAnsi="Effra" w:cs="Arial"/>
          <w:bCs/>
          <w:sz w:val="18"/>
          <w:szCs w:val="18"/>
        </w:rPr>
        <w:t>Europace</w:t>
      </w:r>
      <w:proofErr w:type="spellEnd"/>
      <w:r w:rsidR="002E769A" w:rsidRPr="008E113C">
        <w:rPr>
          <w:rFonts w:ascii="Effra" w:hAnsi="Effra" w:cs="Arial"/>
          <w:bCs/>
          <w:sz w:val="18"/>
          <w:szCs w:val="18"/>
        </w:rPr>
        <w:t>. 2018;20:f321-f328</w:t>
      </w:r>
    </w:p>
    <w:p w14:paraId="1D356AD9" w14:textId="74C72C48" w:rsidR="00C90BCF" w:rsidRPr="008E113C" w:rsidRDefault="00E7148E" w:rsidP="00C90BCF">
      <w:pPr>
        <w:rPr>
          <w:rFonts w:ascii="Effra" w:hAnsi="Effra" w:cs="Arial"/>
          <w:sz w:val="18"/>
          <w:szCs w:val="18"/>
        </w:rPr>
      </w:pPr>
      <w:r>
        <w:rPr>
          <w:rFonts w:ascii="Effra" w:hAnsi="Effra"/>
          <w:sz w:val="18"/>
          <w:szCs w:val="18"/>
          <w:vertAlign w:val="superscript"/>
        </w:rPr>
        <w:t>6</w:t>
      </w:r>
      <w:r w:rsidR="00C90BCF" w:rsidRPr="008E113C">
        <w:rPr>
          <w:rFonts w:ascii="Effra" w:hAnsi="Effra" w:cs="Arial"/>
          <w:sz w:val="18"/>
          <w:szCs w:val="18"/>
        </w:rPr>
        <w:t xml:space="preserve">Alert Analysis for LINQ II with </w:t>
      </w:r>
      <w:proofErr w:type="spellStart"/>
      <w:r w:rsidR="00C90BCF" w:rsidRPr="008E113C">
        <w:rPr>
          <w:rFonts w:ascii="Effra" w:hAnsi="Effra" w:cs="Arial"/>
          <w:sz w:val="18"/>
          <w:szCs w:val="18"/>
        </w:rPr>
        <w:t>TruRhythm</w:t>
      </w:r>
      <w:proofErr w:type="spellEnd"/>
      <w:r w:rsidR="00C90BCF" w:rsidRPr="008E113C">
        <w:rPr>
          <w:rFonts w:ascii="Effra" w:hAnsi="Effra" w:cs="Arial"/>
          <w:sz w:val="18"/>
          <w:szCs w:val="18"/>
        </w:rPr>
        <w:t xml:space="preserve"> and LINQ II, Medtronic data on file, 2020.</w:t>
      </w:r>
    </w:p>
    <w:p w14:paraId="3C461205" w14:textId="39711E82" w:rsidR="002D56F6" w:rsidRPr="002B3670" w:rsidRDefault="002D56F6" w:rsidP="002D56F6">
      <w:pPr>
        <w:pStyle w:val="FootnoteText"/>
        <w:rPr>
          <w:rFonts w:ascii="Effra" w:hAnsi="Effra"/>
          <w:sz w:val="18"/>
          <w:szCs w:val="18"/>
          <w:vertAlign w:val="superscript"/>
        </w:rPr>
      </w:pPr>
    </w:p>
    <w:p w14:paraId="5036C7C0" w14:textId="77777777" w:rsidR="005D7568" w:rsidRPr="00A424C4" w:rsidRDefault="005D7568" w:rsidP="00495539">
      <w:pPr>
        <w:pStyle w:val="Heading1"/>
        <w:shd w:val="clear" w:color="auto" w:fill="FFFFFF"/>
        <w:spacing w:before="0" w:beforeAutospacing="0" w:after="0" w:afterAutospacing="0"/>
        <w:rPr>
          <w:rFonts w:ascii="Effra" w:hAnsi="Effra" w:cs="Arial"/>
          <w:color w:val="000000"/>
          <w:sz w:val="18"/>
          <w:szCs w:val="18"/>
        </w:rPr>
      </w:pPr>
    </w:p>
    <w:sectPr w:rsidR="005D7568" w:rsidRPr="00A424C4">
      <w:footerReference w:type="default" r:id="rId13"/>
      <w:pgSz w:w="12240" w:h="15840"/>
      <w:pgMar w:top="1440" w:right="144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482BD3" w16cex:dateUtc="2020-04-20T18:10:00Z"/>
  <w16cex:commentExtensible w16cex:durableId="224845E4" w16cex:dateUtc="2020-04-20T20:01:00Z"/>
  <w16cex:commentExtensible w16cex:durableId="224845E5" w16cex:dateUtc="2020-04-20T20:0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DA752C" w14:textId="77777777" w:rsidR="00157E19" w:rsidRDefault="00157E19" w:rsidP="006D47A7">
      <w:r>
        <w:separator/>
      </w:r>
    </w:p>
  </w:endnote>
  <w:endnote w:type="continuationSeparator" w:id="0">
    <w:p w14:paraId="657048BC" w14:textId="77777777" w:rsidR="00157E19" w:rsidRDefault="00157E19" w:rsidP="006D47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yriad Pro">
    <w:altName w:val="Corbel"/>
    <w:charset w:val="00"/>
    <w:family w:val="auto"/>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Effra">
    <w:panose1 w:val="020B0603020203020204"/>
    <w:charset w:val="00"/>
    <w:family w:val="swiss"/>
    <w:pitch w:val="variable"/>
    <w:sig w:usb0="A00002AF" w:usb1="5000205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1474105"/>
      <w:docPartObj>
        <w:docPartGallery w:val="Page Numbers (Bottom of Page)"/>
        <w:docPartUnique/>
      </w:docPartObj>
    </w:sdtPr>
    <w:sdtEndPr>
      <w:rPr>
        <w:noProof/>
      </w:rPr>
    </w:sdtEndPr>
    <w:sdtContent>
      <w:p w14:paraId="7A965B0E" w14:textId="6A66F335" w:rsidR="00327471" w:rsidRDefault="0032747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69533D1" w14:textId="77777777" w:rsidR="00327471" w:rsidRDefault="003274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673A90" w14:textId="77777777" w:rsidR="00157E19" w:rsidRDefault="00157E19" w:rsidP="006D47A7">
      <w:r>
        <w:separator/>
      </w:r>
    </w:p>
  </w:footnote>
  <w:footnote w:type="continuationSeparator" w:id="0">
    <w:p w14:paraId="2DD2A953" w14:textId="77777777" w:rsidR="00157E19" w:rsidRDefault="00157E19" w:rsidP="006D47A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BC4B5C"/>
    <w:multiLevelType w:val="hybridMultilevel"/>
    <w:tmpl w:val="7F880AD0"/>
    <w:lvl w:ilvl="0" w:tplc="B2DAC3CA">
      <w:start w:val="1"/>
      <w:numFmt w:val="bullet"/>
      <w:lvlText w:val=""/>
      <w:lvlJc w:val="left"/>
      <w:pPr>
        <w:ind w:left="1080" w:hanging="360"/>
      </w:pPr>
      <w:rPr>
        <w:rFonts w:ascii="Symbol" w:hAnsi="Symbol" w:hint="default"/>
        <w:color w:val="auto"/>
      </w:rPr>
    </w:lvl>
    <w:lvl w:ilvl="1" w:tplc="04090001">
      <w:start w:val="1"/>
      <w:numFmt w:val="bullet"/>
      <w:lvlText w:val=""/>
      <w:lvlJc w:val="left"/>
      <w:pPr>
        <w:ind w:left="720" w:hanging="360"/>
      </w:pPr>
      <w:rPr>
        <w:rFonts w:ascii="Symbol" w:hAnsi="Symbol" w:hint="default"/>
      </w:rPr>
    </w:lvl>
    <w:lvl w:ilvl="2" w:tplc="04090005">
      <w:start w:val="1"/>
      <w:numFmt w:val="bullet"/>
      <w:lvlText w:val=""/>
      <w:lvlJc w:val="left"/>
      <w:pPr>
        <w:ind w:left="1440" w:hanging="360"/>
      </w:pPr>
      <w:rPr>
        <w:rFonts w:ascii="Wingdings" w:hAnsi="Wingdings" w:hint="default"/>
      </w:rPr>
    </w:lvl>
    <w:lvl w:ilvl="3" w:tplc="04090001">
      <w:start w:val="1"/>
      <w:numFmt w:val="bullet"/>
      <w:lvlText w:val=""/>
      <w:lvlJc w:val="left"/>
      <w:pPr>
        <w:ind w:left="2160" w:hanging="360"/>
      </w:pPr>
      <w:rPr>
        <w:rFonts w:ascii="Symbol" w:hAnsi="Symbol" w:hint="default"/>
      </w:rPr>
    </w:lvl>
    <w:lvl w:ilvl="4" w:tplc="04090003">
      <w:start w:val="1"/>
      <w:numFmt w:val="bullet"/>
      <w:lvlText w:val="o"/>
      <w:lvlJc w:val="left"/>
      <w:pPr>
        <w:ind w:left="2880" w:hanging="360"/>
      </w:pPr>
      <w:rPr>
        <w:rFonts w:ascii="Courier New" w:hAnsi="Courier New" w:cs="Courier New" w:hint="default"/>
      </w:rPr>
    </w:lvl>
    <w:lvl w:ilvl="5" w:tplc="04090005">
      <w:start w:val="1"/>
      <w:numFmt w:val="bullet"/>
      <w:lvlText w:val=""/>
      <w:lvlJc w:val="left"/>
      <w:pPr>
        <w:ind w:left="3600" w:hanging="360"/>
      </w:pPr>
      <w:rPr>
        <w:rFonts w:ascii="Wingdings" w:hAnsi="Wingdings" w:hint="default"/>
      </w:rPr>
    </w:lvl>
    <w:lvl w:ilvl="6" w:tplc="04090001">
      <w:start w:val="1"/>
      <w:numFmt w:val="bullet"/>
      <w:lvlText w:val=""/>
      <w:lvlJc w:val="left"/>
      <w:pPr>
        <w:ind w:left="4320" w:hanging="360"/>
      </w:pPr>
      <w:rPr>
        <w:rFonts w:ascii="Symbol" w:hAnsi="Symbol" w:hint="default"/>
      </w:rPr>
    </w:lvl>
    <w:lvl w:ilvl="7" w:tplc="04090003">
      <w:start w:val="1"/>
      <w:numFmt w:val="bullet"/>
      <w:lvlText w:val="o"/>
      <w:lvlJc w:val="left"/>
      <w:pPr>
        <w:ind w:left="5040" w:hanging="360"/>
      </w:pPr>
      <w:rPr>
        <w:rFonts w:ascii="Courier New" w:hAnsi="Courier New" w:cs="Courier New" w:hint="default"/>
      </w:rPr>
    </w:lvl>
    <w:lvl w:ilvl="8" w:tplc="04090005">
      <w:start w:val="1"/>
      <w:numFmt w:val="bullet"/>
      <w:lvlText w:val=""/>
      <w:lvlJc w:val="left"/>
      <w:pPr>
        <w:ind w:left="5760" w:hanging="360"/>
      </w:pPr>
      <w:rPr>
        <w:rFonts w:ascii="Wingdings" w:hAnsi="Wingdings" w:hint="default"/>
      </w:rPr>
    </w:lvl>
  </w:abstractNum>
  <w:abstractNum w:abstractNumId="1" w15:restartNumberingAfterBreak="0">
    <w:nsid w:val="201D2D41"/>
    <w:multiLevelType w:val="hybridMultilevel"/>
    <w:tmpl w:val="A2FAFD1E"/>
    <w:lvl w:ilvl="0" w:tplc="04090003">
      <w:start w:val="1"/>
      <w:numFmt w:val="bullet"/>
      <w:lvlText w:val="o"/>
      <w:lvlJc w:val="left"/>
      <w:pPr>
        <w:ind w:left="1800" w:hanging="360"/>
      </w:pPr>
      <w:rPr>
        <w:rFonts w:ascii="Courier New" w:hAnsi="Courier New" w:cs="Courier New"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2D9205A1"/>
    <w:multiLevelType w:val="hybridMultilevel"/>
    <w:tmpl w:val="50F0746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34CA56A5"/>
    <w:multiLevelType w:val="hybridMultilevel"/>
    <w:tmpl w:val="674895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386822BA"/>
    <w:multiLevelType w:val="hybridMultilevel"/>
    <w:tmpl w:val="F45AA7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3E417A6F"/>
    <w:multiLevelType w:val="hybridMultilevel"/>
    <w:tmpl w:val="BA9C7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2185016"/>
    <w:multiLevelType w:val="hybridMultilevel"/>
    <w:tmpl w:val="64B60F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2881013"/>
    <w:multiLevelType w:val="hybridMultilevel"/>
    <w:tmpl w:val="2A52F1A4"/>
    <w:lvl w:ilvl="0" w:tplc="53600690">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4566C5"/>
    <w:multiLevelType w:val="hybridMultilevel"/>
    <w:tmpl w:val="4BF43D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8"/>
  </w:num>
  <w:num w:numId="4">
    <w:abstractNumId w:val="3"/>
  </w:num>
  <w:num w:numId="5">
    <w:abstractNumId w:val="6"/>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I2NDAwNTC0tDA0NjZU0lEKTi0uzszPAykwrQUAaD/5aiwAAAA="/>
  </w:docVars>
  <w:rsids>
    <w:rsidRoot w:val="006D47A7"/>
    <w:rsid w:val="000222DF"/>
    <w:rsid w:val="00022C43"/>
    <w:rsid w:val="000458B7"/>
    <w:rsid w:val="00046505"/>
    <w:rsid w:val="00046832"/>
    <w:rsid w:val="0005366B"/>
    <w:rsid w:val="00056E11"/>
    <w:rsid w:val="0005798A"/>
    <w:rsid w:val="00061E0B"/>
    <w:rsid w:val="00062D4F"/>
    <w:rsid w:val="00064A74"/>
    <w:rsid w:val="000664EC"/>
    <w:rsid w:val="00067BD4"/>
    <w:rsid w:val="00070D1A"/>
    <w:rsid w:val="000772F5"/>
    <w:rsid w:val="00084F6A"/>
    <w:rsid w:val="000879A8"/>
    <w:rsid w:val="000935AE"/>
    <w:rsid w:val="000952E6"/>
    <w:rsid w:val="000A296C"/>
    <w:rsid w:val="000A453F"/>
    <w:rsid w:val="000B1934"/>
    <w:rsid w:val="000B5584"/>
    <w:rsid w:val="000D3C1D"/>
    <w:rsid w:val="000D409B"/>
    <w:rsid w:val="000D447B"/>
    <w:rsid w:val="000D5763"/>
    <w:rsid w:val="000D6804"/>
    <w:rsid w:val="000D7196"/>
    <w:rsid w:val="000D73E7"/>
    <w:rsid w:val="000E7876"/>
    <w:rsid w:val="000E7CCE"/>
    <w:rsid w:val="00106680"/>
    <w:rsid w:val="00123685"/>
    <w:rsid w:val="00124BD4"/>
    <w:rsid w:val="001344FA"/>
    <w:rsid w:val="00151CBE"/>
    <w:rsid w:val="0015324A"/>
    <w:rsid w:val="001554C5"/>
    <w:rsid w:val="00157E19"/>
    <w:rsid w:val="001653DC"/>
    <w:rsid w:val="00172442"/>
    <w:rsid w:val="0017454A"/>
    <w:rsid w:val="001A1360"/>
    <w:rsid w:val="001B34A7"/>
    <w:rsid w:val="001B5F37"/>
    <w:rsid w:val="001C2933"/>
    <w:rsid w:val="001C2DE4"/>
    <w:rsid w:val="001D03C2"/>
    <w:rsid w:val="001D160A"/>
    <w:rsid w:val="001D2CA6"/>
    <w:rsid w:val="001E0505"/>
    <w:rsid w:val="001F47F1"/>
    <w:rsid w:val="00202566"/>
    <w:rsid w:val="00202A95"/>
    <w:rsid w:val="002064E9"/>
    <w:rsid w:val="00207AE3"/>
    <w:rsid w:val="00214089"/>
    <w:rsid w:val="0022239E"/>
    <w:rsid w:val="00235A48"/>
    <w:rsid w:val="00254AC5"/>
    <w:rsid w:val="00257510"/>
    <w:rsid w:val="00260127"/>
    <w:rsid w:val="00260C75"/>
    <w:rsid w:val="00277E81"/>
    <w:rsid w:val="00296518"/>
    <w:rsid w:val="002B3670"/>
    <w:rsid w:val="002D1827"/>
    <w:rsid w:val="002D3900"/>
    <w:rsid w:val="002D56F6"/>
    <w:rsid w:val="002E030D"/>
    <w:rsid w:val="002E769A"/>
    <w:rsid w:val="002E7976"/>
    <w:rsid w:val="002F2BFD"/>
    <w:rsid w:val="002F7B24"/>
    <w:rsid w:val="00303C4D"/>
    <w:rsid w:val="0030462B"/>
    <w:rsid w:val="00317399"/>
    <w:rsid w:val="00327471"/>
    <w:rsid w:val="003310BB"/>
    <w:rsid w:val="003349F3"/>
    <w:rsid w:val="00335522"/>
    <w:rsid w:val="0034119F"/>
    <w:rsid w:val="00343A01"/>
    <w:rsid w:val="0034726C"/>
    <w:rsid w:val="003506AC"/>
    <w:rsid w:val="003535A1"/>
    <w:rsid w:val="00361629"/>
    <w:rsid w:val="00361F17"/>
    <w:rsid w:val="00365722"/>
    <w:rsid w:val="00370627"/>
    <w:rsid w:val="00381AA2"/>
    <w:rsid w:val="00383C39"/>
    <w:rsid w:val="00383D4D"/>
    <w:rsid w:val="00384202"/>
    <w:rsid w:val="00387199"/>
    <w:rsid w:val="00394728"/>
    <w:rsid w:val="0039636B"/>
    <w:rsid w:val="003A08F3"/>
    <w:rsid w:val="003C6FFE"/>
    <w:rsid w:val="003D35B5"/>
    <w:rsid w:val="003D49DF"/>
    <w:rsid w:val="003D6EAA"/>
    <w:rsid w:val="003E0025"/>
    <w:rsid w:val="003E15C9"/>
    <w:rsid w:val="003F0629"/>
    <w:rsid w:val="003F6C39"/>
    <w:rsid w:val="00410AF2"/>
    <w:rsid w:val="00434659"/>
    <w:rsid w:val="00436DA7"/>
    <w:rsid w:val="00442C18"/>
    <w:rsid w:val="0045065D"/>
    <w:rsid w:val="00451FBB"/>
    <w:rsid w:val="004574EA"/>
    <w:rsid w:val="004672FA"/>
    <w:rsid w:val="00471794"/>
    <w:rsid w:val="004735C1"/>
    <w:rsid w:val="00480EB5"/>
    <w:rsid w:val="004874C6"/>
    <w:rsid w:val="00495539"/>
    <w:rsid w:val="004A7FAB"/>
    <w:rsid w:val="004C241E"/>
    <w:rsid w:val="004E02F7"/>
    <w:rsid w:val="004E7D64"/>
    <w:rsid w:val="004F1912"/>
    <w:rsid w:val="004F2B4B"/>
    <w:rsid w:val="004F5E90"/>
    <w:rsid w:val="004F7DCF"/>
    <w:rsid w:val="00506A7A"/>
    <w:rsid w:val="005072A0"/>
    <w:rsid w:val="00507900"/>
    <w:rsid w:val="00507B20"/>
    <w:rsid w:val="00507D27"/>
    <w:rsid w:val="00524E11"/>
    <w:rsid w:val="00527E98"/>
    <w:rsid w:val="00530E17"/>
    <w:rsid w:val="00533B93"/>
    <w:rsid w:val="00534DD1"/>
    <w:rsid w:val="005406FE"/>
    <w:rsid w:val="005444AA"/>
    <w:rsid w:val="00551AF4"/>
    <w:rsid w:val="005522A4"/>
    <w:rsid w:val="00560C31"/>
    <w:rsid w:val="00561555"/>
    <w:rsid w:val="00562EE1"/>
    <w:rsid w:val="005643AE"/>
    <w:rsid w:val="005643E6"/>
    <w:rsid w:val="005656B9"/>
    <w:rsid w:val="00572EEB"/>
    <w:rsid w:val="005830EF"/>
    <w:rsid w:val="00591AEB"/>
    <w:rsid w:val="0059260B"/>
    <w:rsid w:val="005963CD"/>
    <w:rsid w:val="005A613D"/>
    <w:rsid w:val="005A7395"/>
    <w:rsid w:val="005B2BC5"/>
    <w:rsid w:val="005B700F"/>
    <w:rsid w:val="005D26C5"/>
    <w:rsid w:val="005D2D57"/>
    <w:rsid w:val="005D4F66"/>
    <w:rsid w:val="005D7568"/>
    <w:rsid w:val="005E3026"/>
    <w:rsid w:val="005E48AC"/>
    <w:rsid w:val="005F7619"/>
    <w:rsid w:val="00607974"/>
    <w:rsid w:val="00610BB6"/>
    <w:rsid w:val="0061111E"/>
    <w:rsid w:val="00613C8B"/>
    <w:rsid w:val="00614F2A"/>
    <w:rsid w:val="00616826"/>
    <w:rsid w:val="00620020"/>
    <w:rsid w:val="00626924"/>
    <w:rsid w:val="0063755C"/>
    <w:rsid w:val="00637A1A"/>
    <w:rsid w:val="00640F3C"/>
    <w:rsid w:val="00641343"/>
    <w:rsid w:val="006440A3"/>
    <w:rsid w:val="00644F66"/>
    <w:rsid w:val="00645FB8"/>
    <w:rsid w:val="006506DD"/>
    <w:rsid w:val="00655E29"/>
    <w:rsid w:val="00672F89"/>
    <w:rsid w:val="00674EBC"/>
    <w:rsid w:val="0068263B"/>
    <w:rsid w:val="00687255"/>
    <w:rsid w:val="006907BA"/>
    <w:rsid w:val="0069171F"/>
    <w:rsid w:val="006945A5"/>
    <w:rsid w:val="006965EB"/>
    <w:rsid w:val="006A1B72"/>
    <w:rsid w:val="006A6E68"/>
    <w:rsid w:val="006B2EC3"/>
    <w:rsid w:val="006B5A3B"/>
    <w:rsid w:val="006C583C"/>
    <w:rsid w:val="006D2A93"/>
    <w:rsid w:val="006D47A7"/>
    <w:rsid w:val="006E5F25"/>
    <w:rsid w:val="00701837"/>
    <w:rsid w:val="00705B4E"/>
    <w:rsid w:val="00706ECD"/>
    <w:rsid w:val="00720673"/>
    <w:rsid w:val="00730A64"/>
    <w:rsid w:val="007405B3"/>
    <w:rsid w:val="007428B1"/>
    <w:rsid w:val="00744DB5"/>
    <w:rsid w:val="00752451"/>
    <w:rsid w:val="00753879"/>
    <w:rsid w:val="0075738D"/>
    <w:rsid w:val="0076175C"/>
    <w:rsid w:val="0076547E"/>
    <w:rsid w:val="00765CD6"/>
    <w:rsid w:val="007663FB"/>
    <w:rsid w:val="007722C2"/>
    <w:rsid w:val="00774820"/>
    <w:rsid w:val="00781BAF"/>
    <w:rsid w:val="00782998"/>
    <w:rsid w:val="00790037"/>
    <w:rsid w:val="007A037A"/>
    <w:rsid w:val="007A38BC"/>
    <w:rsid w:val="007A72A8"/>
    <w:rsid w:val="007B0569"/>
    <w:rsid w:val="007E12C4"/>
    <w:rsid w:val="007E2C78"/>
    <w:rsid w:val="007E71D1"/>
    <w:rsid w:val="007E7A2E"/>
    <w:rsid w:val="007F025D"/>
    <w:rsid w:val="007F4C3B"/>
    <w:rsid w:val="007F6263"/>
    <w:rsid w:val="00814849"/>
    <w:rsid w:val="0084025D"/>
    <w:rsid w:val="0084213B"/>
    <w:rsid w:val="008438F1"/>
    <w:rsid w:val="00846731"/>
    <w:rsid w:val="0085059F"/>
    <w:rsid w:val="0085591F"/>
    <w:rsid w:val="00861A3A"/>
    <w:rsid w:val="00862B26"/>
    <w:rsid w:val="00870C98"/>
    <w:rsid w:val="00872B46"/>
    <w:rsid w:val="00882DC5"/>
    <w:rsid w:val="00882F22"/>
    <w:rsid w:val="0089587E"/>
    <w:rsid w:val="008961CC"/>
    <w:rsid w:val="008A34A4"/>
    <w:rsid w:val="008D1933"/>
    <w:rsid w:val="008D6964"/>
    <w:rsid w:val="008E113C"/>
    <w:rsid w:val="008E2860"/>
    <w:rsid w:val="008E6415"/>
    <w:rsid w:val="008E6DE6"/>
    <w:rsid w:val="00903AFA"/>
    <w:rsid w:val="00910700"/>
    <w:rsid w:val="009114B0"/>
    <w:rsid w:val="00921D4D"/>
    <w:rsid w:val="00942BF6"/>
    <w:rsid w:val="00942CE3"/>
    <w:rsid w:val="00944C17"/>
    <w:rsid w:val="00953103"/>
    <w:rsid w:val="0095436D"/>
    <w:rsid w:val="00960D96"/>
    <w:rsid w:val="00960DF6"/>
    <w:rsid w:val="00961384"/>
    <w:rsid w:val="00963EB6"/>
    <w:rsid w:val="00970459"/>
    <w:rsid w:val="009704D3"/>
    <w:rsid w:val="00986CC8"/>
    <w:rsid w:val="0099030A"/>
    <w:rsid w:val="009A6B80"/>
    <w:rsid w:val="009C79FC"/>
    <w:rsid w:val="009D0A1D"/>
    <w:rsid w:val="009D550B"/>
    <w:rsid w:val="009D660C"/>
    <w:rsid w:val="009D7EF7"/>
    <w:rsid w:val="009E2E28"/>
    <w:rsid w:val="009E34DC"/>
    <w:rsid w:val="009F0263"/>
    <w:rsid w:val="009F742B"/>
    <w:rsid w:val="00A02E05"/>
    <w:rsid w:val="00A05521"/>
    <w:rsid w:val="00A05F0A"/>
    <w:rsid w:val="00A111AB"/>
    <w:rsid w:val="00A15959"/>
    <w:rsid w:val="00A22D46"/>
    <w:rsid w:val="00A30321"/>
    <w:rsid w:val="00A3471C"/>
    <w:rsid w:val="00A34C10"/>
    <w:rsid w:val="00A410F4"/>
    <w:rsid w:val="00A424C4"/>
    <w:rsid w:val="00A55EEE"/>
    <w:rsid w:val="00A61BFD"/>
    <w:rsid w:val="00A7394C"/>
    <w:rsid w:val="00A86A7F"/>
    <w:rsid w:val="00AA3902"/>
    <w:rsid w:val="00AA78C4"/>
    <w:rsid w:val="00AA7FA9"/>
    <w:rsid w:val="00AB1129"/>
    <w:rsid w:val="00AB558F"/>
    <w:rsid w:val="00AB76F5"/>
    <w:rsid w:val="00AC31F7"/>
    <w:rsid w:val="00AE258F"/>
    <w:rsid w:val="00AF26A9"/>
    <w:rsid w:val="00AF3973"/>
    <w:rsid w:val="00AF77E1"/>
    <w:rsid w:val="00B05706"/>
    <w:rsid w:val="00B06582"/>
    <w:rsid w:val="00B16441"/>
    <w:rsid w:val="00B16B2C"/>
    <w:rsid w:val="00B2126E"/>
    <w:rsid w:val="00B232A0"/>
    <w:rsid w:val="00B2493A"/>
    <w:rsid w:val="00B26A6C"/>
    <w:rsid w:val="00B423EE"/>
    <w:rsid w:val="00B67653"/>
    <w:rsid w:val="00B72DB1"/>
    <w:rsid w:val="00B771F5"/>
    <w:rsid w:val="00B845AF"/>
    <w:rsid w:val="00B97858"/>
    <w:rsid w:val="00B97F87"/>
    <w:rsid w:val="00BA08A0"/>
    <w:rsid w:val="00BA5D88"/>
    <w:rsid w:val="00BC5EFA"/>
    <w:rsid w:val="00BD0709"/>
    <w:rsid w:val="00BD1A9F"/>
    <w:rsid w:val="00BD480D"/>
    <w:rsid w:val="00BE7D74"/>
    <w:rsid w:val="00BF1672"/>
    <w:rsid w:val="00BF6D51"/>
    <w:rsid w:val="00C007D9"/>
    <w:rsid w:val="00C07765"/>
    <w:rsid w:val="00C07846"/>
    <w:rsid w:val="00C1634B"/>
    <w:rsid w:val="00C202CC"/>
    <w:rsid w:val="00C25BE4"/>
    <w:rsid w:val="00C33520"/>
    <w:rsid w:val="00C419FE"/>
    <w:rsid w:val="00C442A1"/>
    <w:rsid w:val="00C45E19"/>
    <w:rsid w:val="00C462F5"/>
    <w:rsid w:val="00C66C03"/>
    <w:rsid w:val="00C70F72"/>
    <w:rsid w:val="00C74D58"/>
    <w:rsid w:val="00C77A56"/>
    <w:rsid w:val="00C81E3B"/>
    <w:rsid w:val="00C90BCF"/>
    <w:rsid w:val="00C91C16"/>
    <w:rsid w:val="00C9436D"/>
    <w:rsid w:val="00C947BE"/>
    <w:rsid w:val="00CA2814"/>
    <w:rsid w:val="00CA4BAF"/>
    <w:rsid w:val="00CB2883"/>
    <w:rsid w:val="00CC236A"/>
    <w:rsid w:val="00CC23E5"/>
    <w:rsid w:val="00CC61F3"/>
    <w:rsid w:val="00CE4E94"/>
    <w:rsid w:val="00CF089F"/>
    <w:rsid w:val="00D029F1"/>
    <w:rsid w:val="00D103BA"/>
    <w:rsid w:val="00D1567C"/>
    <w:rsid w:val="00D16350"/>
    <w:rsid w:val="00D22805"/>
    <w:rsid w:val="00D35D80"/>
    <w:rsid w:val="00D36D33"/>
    <w:rsid w:val="00D37EA1"/>
    <w:rsid w:val="00D406EC"/>
    <w:rsid w:val="00D46046"/>
    <w:rsid w:val="00D56414"/>
    <w:rsid w:val="00D63857"/>
    <w:rsid w:val="00D72F86"/>
    <w:rsid w:val="00D73955"/>
    <w:rsid w:val="00D81309"/>
    <w:rsid w:val="00D849B1"/>
    <w:rsid w:val="00DA7809"/>
    <w:rsid w:val="00DB4D22"/>
    <w:rsid w:val="00DB58F2"/>
    <w:rsid w:val="00DC1D93"/>
    <w:rsid w:val="00DC6E04"/>
    <w:rsid w:val="00DC7267"/>
    <w:rsid w:val="00DD2FF7"/>
    <w:rsid w:val="00DD5D05"/>
    <w:rsid w:val="00DE1AD7"/>
    <w:rsid w:val="00DE49E8"/>
    <w:rsid w:val="00DE4D87"/>
    <w:rsid w:val="00DE7A6E"/>
    <w:rsid w:val="00DF2098"/>
    <w:rsid w:val="00E0238A"/>
    <w:rsid w:val="00E11490"/>
    <w:rsid w:val="00E17B9F"/>
    <w:rsid w:val="00E213E5"/>
    <w:rsid w:val="00E224D1"/>
    <w:rsid w:val="00E2461F"/>
    <w:rsid w:val="00E304DF"/>
    <w:rsid w:val="00E32559"/>
    <w:rsid w:val="00E35975"/>
    <w:rsid w:val="00E41783"/>
    <w:rsid w:val="00E53045"/>
    <w:rsid w:val="00E57DAE"/>
    <w:rsid w:val="00E7148E"/>
    <w:rsid w:val="00E75067"/>
    <w:rsid w:val="00E77A3D"/>
    <w:rsid w:val="00E77DD1"/>
    <w:rsid w:val="00E87A37"/>
    <w:rsid w:val="00E90D64"/>
    <w:rsid w:val="00E96A19"/>
    <w:rsid w:val="00EA1671"/>
    <w:rsid w:val="00EC1211"/>
    <w:rsid w:val="00EC6F13"/>
    <w:rsid w:val="00EC706D"/>
    <w:rsid w:val="00EE2C69"/>
    <w:rsid w:val="00EE509C"/>
    <w:rsid w:val="00EF0C78"/>
    <w:rsid w:val="00F00251"/>
    <w:rsid w:val="00F0669B"/>
    <w:rsid w:val="00F15485"/>
    <w:rsid w:val="00F15A2F"/>
    <w:rsid w:val="00F16973"/>
    <w:rsid w:val="00F241A2"/>
    <w:rsid w:val="00F252B0"/>
    <w:rsid w:val="00F27BAC"/>
    <w:rsid w:val="00F317A3"/>
    <w:rsid w:val="00F34006"/>
    <w:rsid w:val="00F37A7A"/>
    <w:rsid w:val="00F5519B"/>
    <w:rsid w:val="00F70A0F"/>
    <w:rsid w:val="00F82E5A"/>
    <w:rsid w:val="00FB169C"/>
    <w:rsid w:val="00FB5200"/>
    <w:rsid w:val="00FB7F00"/>
    <w:rsid w:val="00FC5198"/>
    <w:rsid w:val="00FC52E0"/>
    <w:rsid w:val="00FD7DAE"/>
    <w:rsid w:val="00FE1968"/>
    <w:rsid w:val="00FE3471"/>
    <w:rsid w:val="00FF67C6"/>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1C180B5"/>
  <w15:chartTrackingRefBased/>
  <w15:docId w15:val="{B3B93295-DEEB-4964-A162-C76E4929B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D47A7"/>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151CBE"/>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semiHidden/>
    <w:unhideWhenUsed/>
    <w:qFormat/>
    <w:rsid w:val="003A08F3"/>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D47A7"/>
    <w:rPr>
      <w:color w:val="0000FF"/>
      <w:u w:val="single"/>
    </w:rPr>
  </w:style>
  <w:style w:type="character" w:styleId="CommentReference">
    <w:name w:val="annotation reference"/>
    <w:uiPriority w:val="99"/>
    <w:rsid w:val="006D47A7"/>
    <w:rPr>
      <w:sz w:val="16"/>
      <w:szCs w:val="16"/>
    </w:rPr>
  </w:style>
  <w:style w:type="paragraph" w:styleId="CommentText">
    <w:name w:val="annotation text"/>
    <w:basedOn w:val="Normal"/>
    <w:link w:val="CommentTextChar"/>
    <w:uiPriority w:val="99"/>
    <w:rsid w:val="006D47A7"/>
    <w:rPr>
      <w:sz w:val="20"/>
      <w:szCs w:val="20"/>
    </w:rPr>
  </w:style>
  <w:style w:type="character" w:customStyle="1" w:styleId="CommentTextChar">
    <w:name w:val="Comment Text Char"/>
    <w:basedOn w:val="DefaultParagraphFont"/>
    <w:link w:val="CommentText"/>
    <w:uiPriority w:val="99"/>
    <w:rsid w:val="006D47A7"/>
    <w:rPr>
      <w:rFonts w:ascii="Times New Roman" w:eastAsia="Times New Roman" w:hAnsi="Times New Roman" w:cs="Times New Roman"/>
      <w:sz w:val="20"/>
      <w:szCs w:val="20"/>
    </w:rPr>
  </w:style>
  <w:style w:type="character" w:styleId="EndnoteReference">
    <w:name w:val="endnote reference"/>
    <w:uiPriority w:val="99"/>
    <w:unhideWhenUsed/>
    <w:rsid w:val="006D47A7"/>
    <w:rPr>
      <w:vertAlign w:val="superscript"/>
    </w:rPr>
  </w:style>
  <w:style w:type="paragraph" w:styleId="EndnoteText">
    <w:name w:val="endnote text"/>
    <w:basedOn w:val="Normal"/>
    <w:link w:val="EndnoteTextChar"/>
    <w:uiPriority w:val="99"/>
    <w:unhideWhenUsed/>
    <w:rsid w:val="006D47A7"/>
    <w:pPr>
      <w:spacing w:after="200" w:line="276" w:lineRule="auto"/>
    </w:pPr>
    <w:rPr>
      <w:rFonts w:ascii="Myriad Pro" w:eastAsia="Myriad Pro" w:hAnsi="Myriad Pro"/>
      <w:lang w:val="x-none" w:eastAsia="x-none"/>
    </w:rPr>
  </w:style>
  <w:style w:type="character" w:customStyle="1" w:styleId="EndnoteTextChar">
    <w:name w:val="Endnote Text Char"/>
    <w:basedOn w:val="DefaultParagraphFont"/>
    <w:link w:val="EndnoteText"/>
    <w:uiPriority w:val="99"/>
    <w:rsid w:val="006D47A7"/>
    <w:rPr>
      <w:rFonts w:ascii="Myriad Pro" w:eastAsia="Myriad Pro" w:hAnsi="Myriad Pro" w:cs="Times New Roman"/>
      <w:sz w:val="24"/>
      <w:szCs w:val="24"/>
      <w:lang w:val="x-none" w:eastAsia="x-none"/>
    </w:rPr>
  </w:style>
  <w:style w:type="paragraph" w:styleId="BalloonText">
    <w:name w:val="Balloon Text"/>
    <w:basedOn w:val="Normal"/>
    <w:link w:val="BalloonTextChar"/>
    <w:uiPriority w:val="99"/>
    <w:semiHidden/>
    <w:unhideWhenUsed/>
    <w:rsid w:val="006D47A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47A7"/>
    <w:rPr>
      <w:rFonts w:ascii="Segoe UI" w:eastAsia="Times New Roman" w:hAnsi="Segoe UI" w:cs="Segoe UI"/>
      <w:sz w:val="18"/>
      <w:szCs w:val="18"/>
    </w:rPr>
  </w:style>
  <w:style w:type="table" w:styleId="TableGrid">
    <w:name w:val="Table Grid"/>
    <w:basedOn w:val="TableNormal"/>
    <w:uiPriority w:val="59"/>
    <w:rsid w:val="006D47A7"/>
    <w:pPr>
      <w:spacing w:after="0" w:line="240" w:lineRule="auto"/>
    </w:pPr>
    <w:rPr>
      <w:rFonts w:ascii="Times New Roman" w:eastAsia="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70459"/>
    <w:pPr>
      <w:tabs>
        <w:tab w:val="center" w:pos="4680"/>
        <w:tab w:val="right" w:pos="9360"/>
      </w:tabs>
    </w:pPr>
  </w:style>
  <w:style w:type="character" w:customStyle="1" w:styleId="HeaderChar">
    <w:name w:val="Header Char"/>
    <w:basedOn w:val="DefaultParagraphFont"/>
    <w:link w:val="Header"/>
    <w:uiPriority w:val="99"/>
    <w:rsid w:val="0097045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70459"/>
    <w:pPr>
      <w:tabs>
        <w:tab w:val="center" w:pos="4680"/>
        <w:tab w:val="right" w:pos="9360"/>
      </w:tabs>
    </w:pPr>
  </w:style>
  <w:style w:type="character" w:customStyle="1" w:styleId="FooterChar">
    <w:name w:val="Footer Char"/>
    <w:basedOn w:val="DefaultParagraphFont"/>
    <w:link w:val="Footer"/>
    <w:uiPriority w:val="99"/>
    <w:rsid w:val="00970459"/>
    <w:rPr>
      <w:rFonts w:ascii="Times New Roman" w:eastAsia="Times New Roman" w:hAnsi="Times New Roman" w:cs="Times New Roman"/>
      <w:sz w:val="24"/>
      <w:szCs w:val="24"/>
    </w:rPr>
  </w:style>
  <w:style w:type="character" w:styleId="Strong">
    <w:name w:val="Strong"/>
    <w:uiPriority w:val="22"/>
    <w:qFormat/>
    <w:rsid w:val="00254AC5"/>
    <w:rPr>
      <w:rFonts w:cs="Times New Roman"/>
      <w:b/>
      <w:bCs/>
    </w:rPr>
  </w:style>
  <w:style w:type="paragraph" w:styleId="ListParagraph">
    <w:name w:val="List Paragraph"/>
    <w:basedOn w:val="Normal"/>
    <w:uiPriority w:val="34"/>
    <w:qFormat/>
    <w:rsid w:val="00254AC5"/>
    <w:pPr>
      <w:ind w:left="720"/>
      <w:contextualSpacing/>
    </w:pPr>
  </w:style>
  <w:style w:type="paragraph" w:styleId="CommentSubject">
    <w:name w:val="annotation subject"/>
    <w:basedOn w:val="CommentText"/>
    <w:next w:val="CommentText"/>
    <w:link w:val="CommentSubjectChar"/>
    <w:uiPriority w:val="99"/>
    <w:semiHidden/>
    <w:unhideWhenUsed/>
    <w:rsid w:val="00F16973"/>
    <w:rPr>
      <w:b/>
      <w:bCs/>
    </w:rPr>
  </w:style>
  <w:style w:type="character" w:customStyle="1" w:styleId="CommentSubjectChar">
    <w:name w:val="Comment Subject Char"/>
    <w:basedOn w:val="CommentTextChar"/>
    <w:link w:val="CommentSubject"/>
    <w:uiPriority w:val="99"/>
    <w:semiHidden/>
    <w:rsid w:val="00F16973"/>
    <w:rPr>
      <w:rFonts w:ascii="Times New Roman" w:eastAsia="Times New Roman" w:hAnsi="Times New Roman" w:cs="Times New Roman"/>
      <w:b/>
      <w:bCs/>
      <w:sz w:val="20"/>
      <w:szCs w:val="20"/>
    </w:rPr>
  </w:style>
  <w:style w:type="character" w:customStyle="1" w:styleId="Heading1Char">
    <w:name w:val="Heading 1 Char"/>
    <w:basedOn w:val="DefaultParagraphFont"/>
    <w:link w:val="Heading1"/>
    <w:uiPriority w:val="9"/>
    <w:rsid w:val="00151CBE"/>
    <w:rPr>
      <w:rFonts w:ascii="Times New Roman" w:eastAsia="Times New Roman" w:hAnsi="Times New Roman" w:cs="Times New Roman"/>
      <w:b/>
      <w:bCs/>
      <w:kern w:val="36"/>
      <w:sz w:val="48"/>
      <w:szCs w:val="48"/>
    </w:rPr>
  </w:style>
  <w:style w:type="character" w:styleId="UnresolvedMention">
    <w:name w:val="Unresolved Mention"/>
    <w:basedOn w:val="DefaultParagraphFont"/>
    <w:uiPriority w:val="99"/>
    <w:semiHidden/>
    <w:unhideWhenUsed/>
    <w:rsid w:val="0034726C"/>
    <w:rPr>
      <w:color w:val="808080"/>
      <w:shd w:val="clear" w:color="auto" w:fill="E6E6E6"/>
    </w:rPr>
  </w:style>
  <w:style w:type="paragraph" w:styleId="FootnoteText">
    <w:name w:val="footnote text"/>
    <w:basedOn w:val="Normal"/>
    <w:link w:val="FootnoteTextChar"/>
    <w:uiPriority w:val="99"/>
    <w:unhideWhenUsed/>
    <w:rsid w:val="002D56F6"/>
    <w:rPr>
      <w:rFonts w:asciiTheme="minorHAnsi" w:eastAsiaTheme="minorEastAsia" w:hAnsiTheme="minorHAnsi" w:cstheme="minorBidi"/>
      <w:sz w:val="20"/>
      <w:szCs w:val="20"/>
    </w:rPr>
  </w:style>
  <w:style w:type="character" w:customStyle="1" w:styleId="FootnoteTextChar">
    <w:name w:val="Footnote Text Char"/>
    <w:basedOn w:val="DefaultParagraphFont"/>
    <w:link w:val="FootnoteText"/>
    <w:uiPriority w:val="99"/>
    <w:rsid w:val="002D56F6"/>
    <w:rPr>
      <w:rFonts w:eastAsiaTheme="minorEastAsia"/>
      <w:sz w:val="20"/>
      <w:szCs w:val="20"/>
    </w:rPr>
  </w:style>
  <w:style w:type="character" w:styleId="FootnoteReference">
    <w:name w:val="footnote reference"/>
    <w:basedOn w:val="DefaultParagraphFont"/>
    <w:uiPriority w:val="99"/>
    <w:semiHidden/>
    <w:unhideWhenUsed/>
    <w:rsid w:val="002D56F6"/>
    <w:rPr>
      <w:vertAlign w:val="superscript"/>
    </w:rPr>
  </w:style>
  <w:style w:type="paragraph" w:styleId="Revision">
    <w:name w:val="Revision"/>
    <w:hidden/>
    <w:uiPriority w:val="99"/>
    <w:semiHidden/>
    <w:rsid w:val="00202566"/>
    <w:pPr>
      <w:spacing w:after="0"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semiHidden/>
    <w:rsid w:val="003A08F3"/>
    <w:rPr>
      <w:rFonts w:asciiTheme="majorHAnsi" w:eastAsiaTheme="majorEastAsia" w:hAnsiTheme="majorHAnsi" w:cstheme="majorBidi"/>
      <w:color w:val="2F5496" w:themeColor="accent1" w:themeShade="BF"/>
      <w:sz w:val="26"/>
      <w:szCs w:val="26"/>
    </w:rPr>
  </w:style>
  <w:style w:type="character" w:customStyle="1" w:styleId="e24kjd">
    <w:name w:val="e24kjd"/>
    <w:basedOn w:val="DefaultParagraphFont"/>
    <w:rsid w:val="003A08F3"/>
  </w:style>
  <w:style w:type="paragraph" w:styleId="NormalWeb">
    <w:name w:val="Normal (Web)"/>
    <w:basedOn w:val="Normal"/>
    <w:uiPriority w:val="99"/>
    <w:semiHidden/>
    <w:unhideWhenUsed/>
    <w:rsid w:val="00EC706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382674">
      <w:bodyDiv w:val="1"/>
      <w:marLeft w:val="0"/>
      <w:marRight w:val="0"/>
      <w:marTop w:val="0"/>
      <w:marBottom w:val="0"/>
      <w:divBdr>
        <w:top w:val="none" w:sz="0" w:space="0" w:color="auto"/>
        <w:left w:val="none" w:sz="0" w:space="0" w:color="auto"/>
        <w:bottom w:val="none" w:sz="0" w:space="0" w:color="auto"/>
        <w:right w:val="none" w:sz="0" w:space="0" w:color="auto"/>
      </w:divBdr>
    </w:div>
    <w:div w:id="179128395">
      <w:bodyDiv w:val="1"/>
      <w:marLeft w:val="0"/>
      <w:marRight w:val="0"/>
      <w:marTop w:val="0"/>
      <w:marBottom w:val="0"/>
      <w:divBdr>
        <w:top w:val="none" w:sz="0" w:space="0" w:color="auto"/>
        <w:left w:val="none" w:sz="0" w:space="0" w:color="auto"/>
        <w:bottom w:val="none" w:sz="0" w:space="0" w:color="auto"/>
        <w:right w:val="none" w:sz="0" w:space="0" w:color="auto"/>
      </w:divBdr>
    </w:div>
    <w:div w:id="480001905">
      <w:bodyDiv w:val="1"/>
      <w:marLeft w:val="0"/>
      <w:marRight w:val="0"/>
      <w:marTop w:val="0"/>
      <w:marBottom w:val="0"/>
      <w:divBdr>
        <w:top w:val="none" w:sz="0" w:space="0" w:color="auto"/>
        <w:left w:val="none" w:sz="0" w:space="0" w:color="auto"/>
        <w:bottom w:val="none" w:sz="0" w:space="0" w:color="auto"/>
        <w:right w:val="none" w:sz="0" w:space="0" w:color="auto"/>
      </w:divBdr>
    </w:div>
    <w:div w:id="527566805">
      <w:bodyDiv w:val="1"/>
      <w:marLeft w:val="0"/>
      <w:marRight w:val="0"/>
      <w:marTop w:val="0"/>
      <w:marBottom w:val="0"/>
      <w:divBdr>
        <w:top w:val="none" w:sz="0" w:space="0" w:color="auto"/>
        <w:left w:val="none" w:sz="0" w:space="0" w:color="auto"/>
        <w:bottom w:val="none" w:sz="0" w:space="0" w:color="auto"/>
        <w:right w:val="none" w:sz="0" w:space="0" w:color="auto"/>
      </w:divBdr>
      <w:divsChild>
        <w:div w:id="612441891">
          <w:marLeft w:val="0"/>
          <w:marRight w:val="0"/>
          <w:marTop w:val="90"/>
          <w:marBottom w:val="0"/>
          <w:divBdr>
            <w:top w:val="none" w:sz="0" w:space="0" w:color="auto"/>
            <w:left w:val="none" w:sz="0" w:space="0" w:color="auto"/>
            <w:bottom w:val="none" w:sz="0" w:space="0" w:color="auto"/>
            <w:right w:val="none" w:sz="0" w:space="0" w:color="auto"/>
          </w:divBdr>
          <w:divsChild>
            <w:div w:id="1938059226">
              <w:marLeft w:val="0"/>
              <w:marRight w:val="0"/>
              <w:marTop w:val="0"/>
              <w:marBottom w:val="405"/>
              <w:divBdr>
                <w:top w:val="none" w:sz="0" w:space="0" w:color="auto"/>
                <w:left w:val="none" w:sz="0" w:space="0" w:color="auto"/>
                <w:bottom w:val="none" w:sz="0" w:space="0" w:color="auto"/>
                <w:right w:val="none" w:sz="0" w:space="0" w:color="auto"/>
              </w:divBdr>
              <w:divsChild>
                <w:div w:id="18429895">
                  <w:marLeft w:val="0"/>
                  <w:marRight w:val="0"/>
                  <w:marTop w:val="0"/>
                  <w:marBottom w:val="0"/>
                  <w:divBdr>
                    <w:top w:val="single" w:sz="6" w:space="0" w:color="DFE1E5"/>
                    <w:left w:val="single" w:sz="6" w:space="0" w:color="DFE1E5"/>
                    <w:bottom w:val="single" w:sz="6" w:space="0" w:color="DFE1E5"/>
                    <w:right w:val="single" w:sz="6" w:space="0" w:color="DFE1E5"/>
                  </w:divBdr>
                  <w:divsChild>
                    <w:div w:id="630138332">
                      <w:marLeft w:val="0"/>
                      <w:marRight w:val="0"/>
                      <w:marTop w:val="0"/>
                      <w:marBottom w:val="0"/>
                      <w:divBdr>
                        <w:top w:val="none" w:sz="0" w:space="0" w:color="auto"/>
                        <w:left w:val="none" w:sz="0" w:space="0" w:color="auto"/>
                        <w:bottom w:val="none" w:sz="0" w:space="0" w:color="auto"/>
                        <w:right w:val="none" w:sz="0" w:space="0" w:color="auto"/>
                      </w:divBdr>
                      <w:divsChild>
                        <w:div w:id="936330713">
                          <w:marLeft w:val="0"/>
                          <w:marRight w:val="0"/>
                          <w:marTop w:val="0"/>
                          <w:marBottom w:val="0"/>
                          <w:divBdr>
                            <w:top w:val="none" w:sz="0" w:space="0" w:color="auto"/>
                            <w:left w:val="none" w:sz="0" w:space="0" w:color="auto"/>
                            <w:bottom w:val="none" w:sz="0" w:space="0" w:color="auto"/>
                            <w:right w:val="none" w:sz="0" w:space="0" w:color="auto"/>
                          </w:divBdr>
                          <w:divsChild>
                            <w:div w:id="1701663861">
                              <w:marLeft w:val="0"/>
                              <w:marRight w:val="0"/>
                              <w:marTop w:val="0"/>
                              <w:marBottom w:val="0"/>
                              <w:divBdr>
                                <w:top w:val="none" w:sz="0" w:space="0" w:color="auto"/>
                                <w:left w:val="none" w:sz="0" w:space="0" w:color="auto"/>
                                <w:bottom w:val="none" w:sz="0" w:space="0" w:color="auto"/>
                                <w:right w:val="none" w:sz="0" w:space="0" w:color="auto"/>
                              </w:divBdr>
                              <w:divsChild>
                                <w:div w:id="1172179628">
                                  <w:marLeft w:val="0"/>
                                  <w:marRight w:val="0"/>
                                  <w:marTop w:val="0"/>
                                  <w:marBottom w:val="0"/>
                                  <w:divBdr>
                                    <w:top w:val="none" w:sz="0" w:space="0" w:color="auto"/>
                                    <w:left w:val="none" w:sz="0" w:space="0" w:color="auto"/>
                                    <w:bottom w:val="none" w:sz="0" w:space="0" w:color="auto"/>
                                    <w:right w:val="none" w:sz="0" w:space="0" w:color="auto"/>
                                  </w:divBdr>
                                  <w:divsChild>
                                    <w:div w:id="649166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0944552">
      <w:bodyDiv w:val="1"/>
      <w:marLeft w:val="0"/>
      <w:marRight w:val="0"/>
      <w:marTop w:val="0"/>
      <w:marBottom w:val="0"/>
      <w:divBdr>
        <w:top w:val="none" w:sz="0" w:space="0" w:color="auto"/>
        <w:left w:val="none" w:sz="0" w:space="0" w:color="auto"/>
        <w:bottom w:val="none" w:sz="0" w:space="0" w:color="auto"/>
        <w:right w:val="none" w:sz="0" w:space="0" w:color="auto"/>
      </w:divBdr>
    </w:div>
    <w:div w:id="705448762">
      <w:bodyDiv w:val="1"/>
      <w:marLeft w:val="0"/>
      <w:marRight w:val="0"/>
      <w:marTop w:val="0"/>
      <w:marBottom w:val="0"/>
      <w:divBdr>
        <w:top w:val="none" w:sz="0" w:space="0" w:color="auto"/>
        <w:left w:val="none" w:sz="0" w:space="0" w:color="auto"/>
        <w:bottom w:val="none" w:sz="0" w:space="0" w:color="auto"/>
        <w:right w:val="none" w:sz="0" w:space="0" w:color="auto"/>
      </w:divBdr>
    </w:div>
    <w:div w:id="877202820">
      <w:bodyDiv w:val="1"/>
      <w:marLeft w:val="0"/>
      <w:marRight w:val="0"/>
      <w:marTop w:val="0"/>
      <w:marBottom w:val="0"/>
      <w:divBdr>
        <w:top w:val="none" w:sz="0" w:space="0" w:color="auto"/>
        <w:left w:val="none" w:sz="0" w:space="0" w:color="auto"/>
        <w:bottom w:val="none" w:sz="0" w:space="0" w:color="auto"/>
        <w:right w:val="none" w:sz="0" w:space="0" w:color="auto"/>
      </w:divBdr>
    </w:div>
    <w:div w:id="892042746">
      <w:bodyDiv w:val="1"/>
      <w:marLeft w:val="0"/>
      <w:marRight w:val="0"/>
      <w:marTop w:val="0"/>
      <w:marBottom w:val="0"/>
      <w:divBdr>
        <w:top w:val="none" w:sz="0" w:space="0" w:color="auto"/>
        <w:left w:val="none" w:sz="0" w:space="0" w:color="auto"/>
        <w:bottom w:val="none" w:sz="0" w:space="0" w:color="auto"/>
        <w:right w:val="none" w:sz="0" w:space="0" w:color="auto"/>
      </w:divBdr>
    </w:div>
    <w:div w:id="1000891844">
      <w:bodyDiv w:val="1"/>
      <w:marLeft w:val="0"/>
      <w:marRight w:val="0"/>
      <w:marTop w:val="0"/>
      <w:marBottom w:val="0"/>
      <w:divBdr>
        <w:top w:val="none" w:sz="0" w:space="0" w:color="auto"/>
        <w:left w:val="none" w:sz="0" w:space="0" w:color="auto"/>
        <w:bottom w:val="none" w:sz="0" w:space="0" w:color="auto"/>
        <w:right w:val="none" w:sz="0" w:space="0" w:color="auto"/>
      </w:divBdr>
    </w:div>
    <w:div w:id="1314871808">
      <w:bodyDiv w:val="1"/>
      <w:marLeft w:val="0"/>
      <w:marRight w:val="0"/>
      <w:marTop w:val="0"/>
      <w:marBottom w:val="0"/>
      <w:divBdr>
        <w:top w:val="none" w:sz="0" w:space="0" w:color="auto"/>
        <w:left w:val="none" w:sz="0" w:space="0" w:color="auto"/>
        <w:bottom w:val="none" w:sz="0" w:space="0" w:color="auto"/>
        <w:right w:val="none" w:sz="0" w:space="0" w:color="auto"/>
      </w:divBdr>
    </w:div>
    <w:div w:id="1359312144">
      <w:bodyDiv w:val="1"/>
      <w:marLeft w:val="0"/>
      <w:marRight w:val="0"/>
      <w:marTop w:val="0"/>
      <w:marBottom w:val="0"/>
      <w:divBdr>
        <w:top w:val="none" w:sz="0" w:space="0" w:color="auto"/>
        <w:left w:val="none" w:sz="0" w:space="0" w:color="auto"/>
        <w:bottom w:val="none" w:sz="0" w:space="0" w:color="auto"/>
        <w:right w:val="none" w:sz="0" w:space="0" w:color="auto"/>
      </w:divBdr>
    </w:div>
    <w:div w:id="1366054776">
      <w:bodyDiv w:val="1"/>
      <w:marLeft w:val="0"/>
      <w:marRight w:val="0"/>
      <w:marTop w:val="0"/>
      <w:marBottom w:val="0"/>
      <w:divBdr>
        <w:top w:val="none" w:sz="0" w:space="0" w:color="auto"/>
        <w:left w:val="none" w:sz="0" w:space="0" w:color="auto"/>
        <w:bottom w:val="none" w:sz="0" w:space="0" w:color="auto"/>
        <w:right w:val="none" w:sz="0" w:space="0" w:color="auto"/>
      </w:divBdr>
    </w:div>
    <w:div w:id="1396245248">
      <w:bodyDiv w:val="1"/>
      <w:marLeft w:val="0"/>
      <w:marRight w:val="0"/>
      <w:marTop w:val="0"/>
      <w:marBottom w:val="0"/>
      <w:divBdr>
        <w:top w:val="none" w:sz="0" w:space="0" w:color="auto"/>
        <w:left w:val="none" w:sz="0" w:space="0" w:color="auto"/>
        <w:bottom w:val="none" w:sz="0" w:space="0" w:color="auto"/>
        <w:right w:val="none" w:sz="0" w:space="0" w:color="auto"/>
      </w:divBdr>
    </w:div>
    <w:div w:id="1506166055">
      <w:bodyDiv w:val="1"/>
      <w:marLeft w:val="0"/>
      <w:marRight w:val="0"/>
      <w:marTop w:val="0"/>
      <w:marBottom w:val="0"/>
      <w:divBdr>
        <w:top w:val="none" w:sz="0" w:space="0" w:color="auto"/>
        <w:left w:val="none" w:sz="0" w:space="0" w:color="auto"/>
        <w:bottom w:val="none" w:sz="0" w:space="0" w:color="auto"/>
        <w:right w:val="none" w:sz="0" w:space="0" w:color="auto"/>
      </w:divBdr>
    </w:div>
    <w:div w:id="1565217291">
      <w:bodyDiv w:val="1"/>
      <w:marLeft w:val="0"/>
      <w:marRight w:val="0"/>
      <w:marTop w:val="0"/>
      <w:marBottom w:val="0"/>
      <w:divBdr>
        <w:top w:val="none" w:sz="0" w:space="0" w:color="auto"/>
        <w:left w:val="none" w:sz="0" w:space="0" w:color="auto"/>
        <w:bottom w:val="none" w:sz="0" w:space="0" w:color="auto"/>
        <w:right w:val="none" w:sz="0" w:space="0" w:color="auto"/>
      </w:divBdr>
    </w:div>
    <w:div w:id="1701513026">
      <w:bodyDiv w:val="1"/>
      <w:marLeft w:val="0"/>
      <w:marRight w:val="0"/>
      <w:marTop w:val="0"/>
      <w:marBottom w:val="0"/>
      <w:divBdr>
        <w:top w:val="none" w:sz="0" w:space="0" w:color="auto"/>
        <w:left w:val="none" w:sz="0" w:space="0" w:color="auto"/>
        <w:bottom w:val="none" w:sz="0" w:space="0" w:color="auto"/>
        <w:right w:val="none" w:sz="0" w:space="0" w:color="auto"/>
      </w:divBdr>
    </w:div>
    <w:div w:id="1750736241">
      <w:bodyDiv w:val="1"/>
      <w:marLeft w:val="0"/>
      <w:marRight w:val="0"/>
      <w:marTop w:val="0"/>
      <w:marBottom w:val="0"/>
      <w:divBdr>
        <w:top w:val="none" w:sz="0" w:space="0" w:color="auto"/>
        <w:left w:val="none" w:sz="0" w:space="0" w:color="auto"/>
        <w:bottom w:val="none" w:sz="0" w:space="0" w:color="auto"/>
        <w:right w:val="none" w:sz="0" w:space="0" w:color="auto"/>
      </w:divBdr>
    </w:div>
    <w:div w:id="1826511816">
      <w:bodyDiv w:val="1"/>
      <w:marLeft w:val="0"/>
      <w:marRight w:val="0"/>
      <w:marTop w:val="0"/>
      <w:marBottom w:val="0"/>
      <w:divBdr>
        <w:top w:val="none" w:sz="0" w:space="0" w:color="auto"/>
        <w:left w:val="none" w:sz="0" w:space="0" w:color="auto"/>
        <w:bottom w:val="none" w:sz="0" w:space="0" w:color="auto"/>
        <w:right w:val="none" w:sz="0" w:space="0" w:color="auto"/>
      </w:divBdr>
    </w:div>
    <w:div w:id="1878270943">
      <w:bodyDiv w:val="1"/>
      <w:marLeft w:val="0"/>
      <w:marRight w:val="0"/>
      <w:marTop w:val="0"/>
      <w:marBottom w:val="0"/>
      <w:divBdr>
        <w:top w:val="none" w:sz="0" w:space="0" w:color="auto"/>
        <w:left w:val="none" w:sz="0" w:space="0" w:color="auto"/>
        <w:bottom w:val="none" w:sz="0" w:space="0" w:color="auto"/>
        <w:right w:val="none" w:sz="0" w:space="0" w:color="auto"/>
      </w:divBdr>
    </w:div>
    <w:div w:id="1963028833">
      <w:bodyDiv w:val="1"/>
      <w:marLeft w:val="0"/>
      <w:marRight w:val="0"/>
      <w:marTop w:val="0"/>
      <w:marBottom w:val="0"/>
      <w:divBdr>
        <w:top w:val="none" w:sz="0" w:space="0" w:color="auto"/>
        <w:left w:val="none" w:sz="0" w:space="0" w:color="auto"/>
        <w:bottom w:val="none" w:sz="0" w:space="0" w:color="auto"/>
        <w:right w:val="none" w:sz="0" w:space="0" w:color="auto"/>
      </w:divBdr>
    </w:div>
    <w:div w:id="1986666581">
      <w:bodyDiv w:val="1"/>
      <w:marLeft w:val="0"/>
      <w:marRight w:val="0"/>
      <w:marTop w:val="0"/>
      <w:marBottom w:val="0"/>
      <w:divBdr>
        <w:top w:val="none" w:sz="0" w:space="0" w:color="auto"/>
        <w:left w:val="none" w:sz="0" w:space="0" w:color="auto"/>
        <w:bottom w:val="none" w:sz="0" w:space="0" w:color="auto"/>
        <w:right w:val="none" w:sz="0" w:space="0" w:color="auto"/>
      </w:divBdr>
      <w:divsChild>
        <w:div w:id="209073296">
          <w:marLeft w:val="0"/>
          <w:marRight w:val="0"/>
          <w:marTop w:val="0"/>
          <w:marBottom w:val="0"/>
          <w:divBdr>
            <w:top w:val="none" w:sz="0" w:space="0" w:color="auto"/>
            <w:left w:val="none" w:sz="0" w:space="0" w:color="auto"/>
            <w:bottom w:val="none" w:sz="0" w:space="0" w:color="auto"/>
            <w:right w:val="none" w:sz="0" w:space="0" w:color="auto"/>
          </w:divBdr>
        </w:div>
        <w:div w:id="4412626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 Id="rId22"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1C02CCEB1E7B145A7DBE4EFB0BA94EF" ma:contentTypeVersion="9" ma:contentTypeDescription="Create a new document." ma:contentTypeScope="" ma:versionID="e5708d1f6624c0d7a5fc70b694c3757b">
  <xsd:schema xmlns:xsd="http://www.w3.org/2001/XMLSchema" xmlns:xs="http://www.w3.org/2001/XMLSchema" xmlns:p="http://schemas.microsoft.com/office/2006/metadata/properties" xmlns:ns3="c91512ef-eb40-4598-b2c5-720575b8f1e3" targetNamespace="http://schemas.microsoft.com/office/2006/metadata/properties" ma:root="true" ma:fieldsID="791977ee11c9b9377ed6028d384710e1" ns3:_="">
    <xsd:import namespace="c91512ef-eb40-4598-b2c5-720575b8f1e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1512ef-eb40-4598-b2c5-720575b8f1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DC5081-2E56-4B70-8760-207BDC5408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1512ef-eb40-4598-b2c5-720575b8f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47E481-02C7-4DAF-86AD-27F1E6C3F974}">
  <ds:schemaRefs>
    <ds:schemaRef ds:uri="http://schemas.microsoft.com/sharepoint/v3/contenttype/forms"/>
  </ds:schemaRefs>
</ds:datastoreItem>
</file>

<file path=customXml/itemProps3.xml><?xml version="1.0" encoding="utf-8"?>
<ds:datastoreItem xmlns:ds="http://schemas.openxmlformats.org/officeDocument/2006/customXml" ds:itemID="{938B7EC1-E8CD-4452-BA7C-C92EE3FDEB7D}">
  <ds:schemaRefs>
    <ds:schemaRef ds:uri="http://schemas.microsoft.com/office/2006/documentManagement/types"/>
    <ds:schemaRef ds:uri="http://schemas.openxmlformats.org/package/2006/metadata/core-properties"/>
    <ds:schemaRef ds:uri="http://purl.org/dc/elements/1.1/"/>
    <ds:schemaRef ds:uri="http://schemas.microsoft.com/office/2006/metadata/properties"/>
    <ds:schemaRef ds:uri="c91512ef-eb40-4598-b2c5-720575b8f1e3"/>
    <ds:schemaRef ds:uri="http://purl.org/dc/term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D59FF493-3342-4EAD-A239-1522FCECD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685</Words>
  <Characters>3906</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 Bergan</dc:creator>
  <cp:keywords>Medtronic Controlled</cp:keywords>
  <dc:description/>
  <cp:lastModifiedBy>Mueller, Lauren</cp:lastModifiedBy>
  <cp:revision>2</cp:revision>
  <cp:lastPrinted>2018-07-02T14:56:00Z</cp:lastPrinted>
  <dcterms:created xsi:type="dcterms:W3CDTF">2020-07-01T14:26:00Z</dcterms:created>
  <dcterms:modified xsi:type="dcterms:W3CDTF">2020-07-01T14:26:00Z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bf9ca049-51b6-4f7f-9469-ba07b8403bed</vt:lpwstr>
  </property>
  <property fmtid="{D5CDD505-2E9C-101B-9397-08002B2CF9AE}" pid="3" name="Classification">
    <vt:lpwstr>MedtronicControlled</vt:lpwstr>
  </property>
  <property fmtid="{D5CDD505-2E9C-101B-9397-08002B2CF9AE}" pid="4" name="ContentTypeId">
    <vt:lpwstr>0x01010061C02CCEB1E7B145A7DBE4EFB0BA94EF</vt:lpwstr>
  </property>
</Properties>
</file>