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0C9F" w14:textId="77777777" w:rsidR="00F9413C" w:rsidRPr="006E5DDF" w:rsidRDefault="00F9413C" w:rsidP="00F9413C">
      <w:pPr>
        <w:rPr>
          <w:rFonts w:ascii="Effra" w:hAnsi="Effra"/>
          <w:lang w:val="de-DE"/>
        </w:rPr>
      </w:pPr>
    </w:p>
    <w:p w14:paraId="14C160CB" w14:textId="7F61ADCE" w:rsidR="000B6A57" w:rsidRPr="006E5DDF" w:rsidRDefault="00F66A20" w:rsidP="00F9413C">
      <w:pPr>
        <w:rPr>
          <w:rFonts w:ascii="Effra" w:hAnsi="Effra"/>
          <w:lang w:val="de-DE"/>
        </w:rPr>
      </w:pPr>
      <w:r>
        <w:rPr>
          <w:rFonts w:ascii="Effra" w:hAnsi="Effra"/>
          <w:lang w:val="de-DE"/>
        </w:rPr>
        <w:t xml:space="preserve">Zur Unterstützung unserer Vertriebspartner bei der Erfüllung </w:t>
      </w:r>
      <w:r w:rsidR="00A23320">
        <w:rPr>
          <w:rFonts w:ascii="Effra" w:hAnsi="Effra"/>
          <w:lang w:val="de-DE"/>
        </w:rPr>
        <w:t>der von uns gestellten</w:t>
      </w:r>
      <w:r>
        <w:rPr>
          <w:rFonts w:ascii="Effra" w:hAnsi="Effra"/>
          <w:lang w:val="de-DE"/>
        </w:rPr>
        <w:t xml:space="preserve"> </w:t>
      </w:r>
      <w:r w:rsidR="00F54A89">
        <w:rPr>
          <w:rFonts w:ascii="Effra" w:hAnsi="Effra"/>
          <w:lang w:val="de-DE"/>
        </w:rPr>
        <w:t>Compliance</w:t>
      </w:r>
      <w:r w:rsidR="003A0DCC">
        <w:rPr>
          <w:rFonts w:ascii="Effra" w:hAnsi="Effra"/>
          <w:lang w:val="de-DE"/>
        </w:rPr>
        <w:t>-</w:t>
      </w:r>
      <w:r w:rsidR="00B934F1">
        <w:rPr>
          <w:rFonts w:ascii="Effra" w:hAnsi="Effra"/>
          <w:lang w:val="de-DE"/>
        </w:rPr>
        <w:t>A</w:t>
      </w:r>
      <w:r>
        <w:rPr>
          <w:rFonts w:ascii="Effra" w:hAnsi="Effra"/>
          <w:lang w:val="de-DE"/>
        </w:rPr>
        <w:t xml:space="preserve">nforderungen </w:t>
      </w:r>
      <w:r w:rsidR="00A23320">
        <w:rPr>
          <w:rFonts w:ascii="Effra" w:hAnsi="Effra"/>
          <w:lang w:val="de-DE"/>
        </w:rPr>
        <w:t>geben</w:t>
      </w:r>
      <w:r>
        <w:rPr>
          <w:rFonts w:ascii="Effra" w:hAnsi="Effra"/>
          <w:lang w:val="de-DE"/>
        </w:rPr>
        <w:t xml:space="preserve"> wir ihnen </w:t>
      </w:r>
      <w:r w:rsidR="00B86688">
        <w:rPr>
          <w:rFonts w:ascii="Effra" w:hAnsi="Effra"/>
          <w:lang w:val="de-DE"/>
        </w:rPr>
        <w:t>diverse</w:t>
      </w:r>
      <w:r>
        <w:rPr>
          <w:rFonts w:ascii="Effra" w:hAnsi="Effra"/>
          <w:lang w:val="de-DE"/>
        </w:rPr>
        <w:t xml:space="preserve"> </w:t>
      </w:r>
      <w:r w:rsidR="00B934F1">
        <w:rPr>
          <w:rFonts w:ascii="Effra" w:hAnsi="Effra"/>
          <w:lang w:val="de-DE"/>
        </w:rPr>
        <w:t>Informations</w:t>
      </w:r>
      <w:r>
        <w:rPr>
          <w:rFonts w:ascii="Effra" w:hAnsi="Effra"/>
          <w:lang w:val="de-DE"/>
        </w:rPr>
        <w:t>unterlagen,</w:t>
      </w:r>
      <w:r w:rsidR="00B934F1">
        <w:rPr>
          <w:rFonts w:ascii="Effra" w:hAnsi="Effra"/>
          <w:lang w:val="de-DE"/>
        </w:rPr>
        <w:t xml:space="preserve"> T</w:t>
      </w:r>
      <w:r w:rsidR="003A0DCC">
        <w:rPr>
          <w:rFonts w:ascii="Effra" w:hAnsi="Effra"/>
          <w:lang w:val="de-DE"/>
        </w:rPr>
        <w:t xml:space="preserve">ools </w:t>
      </w:r>
      <w:r>
        <w:rPr>
          <w:rFonts w:ascii="Effra" w:hAnsi="Effra"/>
          <w:lang w:val="de-DE"/>
        </w:rPr>
        <w:t xml:space="preserve">und </w:t>
      </w:r>
      <w:r w:rsidR="00F54A89">
        <w:rPr>
          <w:rFonts w:ascii="Effra" w:hAnsi="Effra"/>
          <w:lang w:val="de-DE"/>
        </w:rPr>
        <w:t>V</w:t>
      </w:r>
      <w:r>
        <w:rPr>
          <w:rFonts w:ascii="Effra" w:hAnsi="Effra"/>
          <w:lang w:val="de-DE"/>
        </w:rPr>
        <w:t xml:space="preserve">orlagen </w:t>
      </w:r>
      <w:r w:rsidR="00A23320">
        <w:rPr>
          <w:rFonts w:ascii="Effra" w:hAnsi="Effra"/>
          <w:lang w:val="de-DE"/>
        </w:rPr>
        <w:t>an die Hand</w:t>
      </w:r>
      <w:r w:rsidR="00B640AA" w:rsidRPr="006E5DDF">
        <w:rPr>
          <w:rFonts w:ascii="Effra" w:hAnsi="Effra"/>
          <w:lang w:val="de-DE"/>
        </w:rPr>
        <w:t xml:space="preserve">. </w:t>
      </w:r>
      <w:r>
        <w:rPr>
          <w:rFonts w:ascii="Effra" w:hAnsi="Effra"/>
          <w:lang w:val="de-DE"/>
        </w:rPr>
        <w:t xml:space="preserve">Einige dieser Unterlagen können unverändert genutzt werden, wohingegen andere für die </w:t>
      </w:r>
      <w:r w:rsidR="00F54A89">
        <w:rPr>
          <w:rFonts w:ascii="Effra" w:hAnsi="Effra"/>
          <w:lang w:val="de-DE"/>
        </w:rPr>
        <w:t xml:space="preserve">vorgesehene </w:t>
      </w:r>
      <w:r>
        <w:rPr>
          <w:rFonts w:ascii="Effra" w:hAnsi="Effra"/>
          <w:lang w:val="de-DE"/>
        </w:rPr>
        <w:t>Anwendung möglicherweise verändert oder angepasst werden müssen</w:t>
      </w:r>
      <w:r w:rsidR="00B640AA" w:rsidRPr="006E5DDF">
        <w:rPr>
          <w:rFonts w:ascii="Effra" w:hAnsi="Effra"/>
          <w:lang w:val="de-DE"/>
        </w:rPr>
        <w:t>,</w:t>
      </w:r>
      <w:r>
        <w:rPr>
          <w:rFonts w:ascii="Effra" w:hAnsi="Effra"/>
          <w:lang w:val="de-DE"/>
        </w:rPr>
        <w:t xml:space="preserve"> da aufgrund </w:t>
      </w:r>
      <w:r w:rsidR="00F54A89">
        <w:rPr>
          <w:rFonts w:ascii="Effra" w:hAnsi="Effra"/>
          <w:lang w:val="de-DE"/>
        </w:rPr>
        <w:t xml:space="preserve">landesspezifischer </w:t>
      </w:r>
      <w:r>
        <w:rPr>
          <w:rFonts w:ascii="Effra" w:hAnsi="Effra"/>
          <w:lang w:val="de-DE"/>
        </w:rPr>
        <w:t>Gesetze</w:t>
      </w:r>
      <w:r w:rsidR="008E05C5">
        <w:rPr>
          <w:rFonts w:ascii="Effra" w:hAnsi="Effra"/>
          <w:lang w:val="de-DE"/>
        </w:rPr>
        <w:t xml:space="preserve"> und</w:t>
      </w:r>
      <w:r>
        <w:rPr>
          <w:rFonts w:ascii="Effra" w:hAnsi="Effra"/>
          <w:lang w:val="de-DE"/>
        </w:rPr>
        <w:t xml:space="preserve"> Bestimmungen </w:t>
      </w:r>
      <w:r w:rsidR="008E05C5">
        <w:rPr>
          <w:rFonts w:ascii="Effra" w:hAnsi="Effra"/>
          <w:lang w:val="de-DE"/>
        </w:rPr>
        <w:t>zusätzliche oder unterschiedliche Anforderungen zu erfüllen sind</w:t>
      </w:r>
      <w:r w:rsidR="00833446" w:rsidRPr="006E5DDF">
        <w:rPr>
          <w:rFonts w:ascii="Effra" w:hAnsi="Effra"/>
          <w:lang w:val="de-DE"/>
        </w:rPr>
        <w:t>.</w:t>
      </w:r>
      <w:r w:rsidR="003A0DCC">
        <w:rPr>
          <w:rFonts w:ascii="Effra" w:hAnsi="Effra"/>
          <w:lang w:val="de-DE"/>
        </w:rPr>
        <w:t xml:space="preserve"> Des Weiteren </w:t>
      </w:r>
      <w:r w:rsidR="00A23320">
        <w:rPr>
          <w:rFonts w:ascii="Effra" w:hAnsi="Effra"/>
          <w:lang w:val="de-DE"/>
        </w:rPr>
        <w:t>sind bestimmte Unterlagen möglicherweise nicht relevant für die geschäftlichen Belange aller Vertriebshändler.</w:t>
      </w:r>
    </w:p>
    <w:p w14:paraId="113EB1AC" w14:textId="77777777" w:rsidR="000B6A57" w:rsidRPr="006E5DDF" w:rsidRDefault="000B6A57" w:rsidP="00F9413C">
      <w:pPr>
        <w:rPr>
          <w:rFonts w:ascii="Effra" w:hAnsi="Effra"/>
          <w:lang w:val="de-DE"/>
        </w:rPr>
      </w:pPr>
    </w:p>
    <w:p w14:paraId="3A5D0754" w14:textId="659693BF" w:rsidR="00F9413C" w:rsidRPr="006E5DDF" w:rsidRDefault="000B6A57" w:rsidP="00F9413C">
      <w:pPr>
        <w:rPr>
          <w:rFonts w:ascii="Effra" w:hAnsi="Effra"/>
          <w:lang w:val="de-DE"/>
        </w:rPr>
      </w:pPr>
      <w:r w:rsidRPr="006E5DDF">
        <w:rPr>
          <w:rFonts w:ascii="Effra" w:hAnsi="Effra"/>
          <w:lang w:val="de-DE"/>
        </w:rPr>
        <w:t xml:space="preserve">In </w:t>
      </w:r>
      <w:r w:rsidR="00A23320">
        <w:rPr>
          <w:rFonts w:ascii="Effra" w:hAnsi="Effra"/>
          <w:lang w:val="de-DE"/>
        </w:rPr>
        <w:t>den Fällen, in denen Änderungen erforderlich sind, empfehlen wir den Vertriebshändlern, die Vorlagen vor der Verwendung ihren Rechtsberatern vorzulegen</w:t>
      </w:r>
      <w:r w:rsidR="00F9413C" w:rsidRPr="006E5DDF">
        <w:rPr>
          <w:rFonts w:ascii="Effra" w:hAnsi="Effra"/>
          <w:lang w:val="de-DE"/>
        </w:rPr>
        <w:t>.</w:t>
      </w:r>
    </w:p>
    <w:p w14:paraId="2915238F" w14:textId="7BBC079A" w:rsidR="00F9413C" w:rsidRPr="006E5DDF" w:rsidRDefault="00F9413C" w:rsidP="00F9413C">
      <w:pPr>
        <w:rPr>
          <w:rFonts w:ascii="Effra" w:hAnsi="Effra"/>
          <w:lang w:val="de-DE"/>
        </w:rPr>
      </w:pPr>
    </w:p>
    <w:p w14:paraId="777C9494" w14:textId="015CF8DE" w:rsidR="00B84FF2" w:rsidRPr="006E5DDF" w:rsidRDefault="00B84FF2" w:rsidP="00F9413C">
      <w:pPr>
        <w:rPr>
          <w:rFonts w:ascii="Effra" w:hAnsi="Effra"/>
          <w:lang w:val="de-DE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3"/>
        <w:gridCol w:w="7587"/>
      </w:tblGrid>
      <w:tr w:rsidR="00327A46" w:rsidRPr="00462BFF" w14:paraId="2D9249CA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0BE80B" w14:textId="77777777" w:rsidR="00483E43" w:rsidRPr="009B6FC2" w:rsidRDefault="00483E43" w:rsidP="009B6FC2">
            <w:pPr>
              <w:pStyle w:val="ListParagraph1"/>
              <w:tabs>
                <w:tab w:val="left" w:pos="0"/>
              </w:tabs>
              <w:spacing w:after="0" w:line="240" w:lineRule="auto"/>
              <w:ind w:left="0"/>
              <w:rPr>
                <w:rFonts w:asciiTheme="majorHAnsi" w:hAnsiTheme="majorHAnsi" w:cs="Calibri"/>
                <w:b/>
                <w:bCs/>
                <w:lang w:val="de-DE"/>
              </w:rPr>
            </w:pPr>
            <w:bookmarkStart w:id="0" w:name="_Hlk530430382"/>
            <w:r w:rsidRPr="009B6FC2">
              <w:rPr>
                <w:rFonts w:asciiTheme="majorHAnsi" w:hAnsiTheme="majorHAnsi" w:cs="Calibri"/>
                <w:b/>
                <w:bCs/>
                <w:lang w:val="de-DE"/>
              </w:rPr>
              <w:t>Präsentation „Compliance für den Vertriebshändler“</w:t>
            </w:r>
          </w:p>
          <w:bookmarkEnd w:id="0"/>
          <w:p w14:paraId="2A8B586B" w14:textId="77777777" w:rsidR="00B84FF2" w:rsidRPr="006E5DDF" w:rsidRDefault="00B84FF2" w:rsidP="00F54A89">
            <w:pPr>
              <w:rPr>
                <w:rFonts w:ascii="Effra" w:hAnsi="Effra"/>
                <w:lang w:val="de-DE"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716523" w14:textId="6155B843" w:rsidR="00B84FF2" w:rsidRPr="00925EDF" w:rsidRDefault="003852AC" w:rsidP="00F9413C">
            <w:pPr>
              <w:rPr>
                <w:rFonts w:ascii="Effra" w:hAnsi="Effra"/>
                <w:lang w:val="de-DE"/>
              </w:rPr>
            </w:pPr>
            <w:r w:rsidRPr="009B6FC2">
              <w:rPr>
                <w:rFonts w:ascii="Effra" w:hAnsi="Effra"/>
                <w:lang w:val="de-DE"/>
              </w:rPr>
              <w:t xml:space="preserve">Slides </w:t>
            </w:r>
            <w:r w:rsidR="00A721B0" w:rsidRPr="00925EDF">
              <w:rPr>
                <w:rFonts w:ascii="Effra" w:hAnsi="Effra"/>
                <w:lang w:val="de-DE"/>
              </w:rPr>
              <w:t xml:space="preserve">des </w:t>
            </w:r>
            <w:r w:rsidR="00B84FF2" w:rsidRPr="00925EDF">
              <w:rPr>
                <w:rFonts w:ascii="Effra" w:hAnsi="Effra"/>
                <w:lang w:val="de-DE"/>
              </w:rPr>
              <w:t xml:space="preserve">DRO </w:t>
            </w:r>
            <w:r w:rsidRPr="009B6FC2">
              <w:rPr>
                <w:rFonts w:ascii="Effra" w:hAnsi="Effra"/>
                <w:lang w:val="de-DE"/>
              </w:rPr>
              <w:t xml:space="preserve">mit welchen er </w:t>
            </w:r>
            <w:r w:rsidR="00A721B0" w:rsidRPr="00925EDF">
              <w:rPr>
                <w:rFonts w:ascii="Effra" w:hAnsi="Effra"/>
                <w:lang w:val="de-DE"/>
              </w:rPr>
              <w:t xml:space="preserve">vor Ort die Erwartungen </w:t>
            </w:r>
            <w:r w:rsidR="00A64387" w:rsidRPr="00925EDF">
              <w:rPr>
                <w:rFonts w:ascii="Effra" w:hAnsi="Effra"/>
                <w:lang w:val="de-DE"/>
              </w:rPr>
              <w:t>von Medtronic hinsichtlich Vertragserfüllung und Qualität</w:t>
            </w:r>
            <w:r w:rsidRPr="009B6FC2">
              <w:rPr>
                <w:rFonts w:ascii="Effra" w:hAnsi="Effra"/>
                <w:lang w:val="de-DE"/>
              </w:rPr>
              <w:t xml:space="preserve"> darstellen kann</w:t>
            </w:r>
          </w:p>
          <w:p w14:paraId="3ECBDAB6" w14:textId="10309283" w:rsidR="00E31564" w:rsidRPr="006E5DDF" w:rsidRDefault="00E31564" w:rsidP="005639EC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327A46" w:rsidRPr="00462BFF" w14:paraId="2B811749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25A3C5" w14:textId="3ABDA60E" w:rsidR="00B84FF2" w:rsidRPr="006E5DDF" w:rsidRDefault="00A23320" w:rsidP="00F57D68">
            <w:pPr>
              <w:rPr>
                <w:rFonts w:ascii="Effra" w:hAnsi="Effra"/>
                <w:lang w:val="de-DE"/>
              </w:rPr>
            </w:pPr>
            <w:r w:rsidRPr="00A23320">
              <w:rPr>
                <w:rFonts w:ascii="Effra" w:hAnsi="Effra"/>
                <w:b/>
                <w:lang w:val="de-DE"/>
              </w:rPr>
              <w:t>Muster Verhaltenskodex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C2EAA2" w14:textId="2DD7CC99" w:rsidR="00B84FF2" w:rsidRPr="006E5DDF" w:rsidRDefault="00B03E63" w:rsidP="00F9413C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Die Vertriebshändler können diese Vorlage dafür nutzen, einen Verhaltenskodex für ihre Organisation zu entwerfen und formell anzunehmen</w:t>
            </w:r>
            <w:r w:rsidR="00B84FF2" w:rsidRPr="006E5DDF">
              <w:rPr>
                <w:rFonts w:ascii="Effra" w:hAnsi="Effra"/>
                <w:lang w:val="de-DE"/>
              </w:rPr>
              <w:t xml:space="preserve">. </w:t>
            </w:r>
            <w:r>
              <w:rPr>
                <w:rFonts w:ascii="Effra" w:hAnsi="Effra"/>
                <w:lang w:val="de-DE"/>
              </w:rPr>
              <w:t>Es müssen Anpassungen an das jeweilige Geschäftsmodell und die geltenden Gesetze, Bestimmungen und Vorschriften der Wirtschaftsverbände vorgenommen werden</w:t>
            </w:r>
            <w:r w:rsidR="00B84FF2" w:rsidRPr="006E5DDF">
              <w:rPr>
                <w:rFonts w:ascii="Effra" w:hAnsi="Effra"/>
                <w:lang w:val="de-DE"/>
              </w:rPr>
              <w:t>.</w:t>
            </w:r>
            <w:r w:rsidR="00782ADE" w:rsidRPr="006E5DDF">
              <w:rPr>
                <w:rFonts w:ascii="Effra" w:hAnsi="Effra"/>
                <w:lang w:val="de-DE"/>
              </w:rPr>
              <w:t xml:space="preserve">  </w:t>
            </w:r>
            <w:r>
              <w:rPr>
                <w:rFonts w:ascii="Effra" w:hAnsi="Effra"/>
                <w:lang w:val="de-DE"/>
              </w:rPr>
              <w:t>Es ist nicht beabsichtigt, dass der Vertriebshändler das vorliegende Dokument durch einfaches Einsetzen seines Namens verwendet</w:t>
            </w:r>
            <w:r w:rsidR="00975B12" w:rsidRPr="006E5DDF">
              <w:rPr>
                <w:rFonts w:ascii="Effra" w:hAnsi="Effra"/>
                <w:lang w:val="de-DE"/>
              </w:rPr>
              <w:t>.</w:t>
            </w:r>
          </w:p>
          <w:p w14:paraId="1F08B128" w14:textId="2CE7054B" w:rsidR="00B84FF2" w:rsidRPr="006E5DDF" w:rsidRDefault="00B84FF2" w:rsidP="005639EC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327A46" w:rsidRPr="006E5DDF" w14:paraId="6A274855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671780" w14:textId="545A482C" w:rsidR="00B84FF2" w:rsidRPr="006E5DDF" w:rsidRDefault="000E4133" w:rsidP="791A5E45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b/>
                <w:bCs/>
                <w:lang w:val="de-DE"/>
              </w:rPr>
              <w:t xml:space="preserve">Leitfaden Compliance- Anforderungen </w:t>
            </w:r>
            <w:r w:rsidR="00A23320" w:rsidRPr="00A23320">
              <w:rPr>
                <w:rFonts w:ascii="Effra" w:hAnsi="Effra"/>
                <w:b/>
                <w:bCs/>
                <w:lang w:val="de-DE"/>
              </w:rPr>
              <w:t>für Geschäftspartner (</w:t>
            </w:r>
            <w:r>
              <w:rPr>
                <w:rFonts w:ascii="Effra" w:hAnsi="Effra"/>
                <w:b/>
                <w:bCs/>
                <w:lang w:val="de-DE"/>
              </w:rPr>
              <w:t>Do</w:t>
            </w:r>
            <w:r w:rsidR="00994634">
              <w:rPr>
                <w:rFonts w:ascii="Effra" w:hAnsi="Effra"/>
                <w:b/>
                <w:bCs/>
                <w:lang w:val="de-DE"/>
              </w:rPr>
              <w:t>´</w:t>
            </w:r>
            <w:r>
              <w:rPr>
                <w:rFonts w:ascii="Effra" w:hAnsi="Effra"/>
                <w:b/>
                <w:bCs/>
                <w:lang w:val="de-DE"/>
              </w:rPr>
              <w:t>s and D</w:t>
            </w:r>
            <w:r w:rsidR="00994634">
              <w:rPr>
                <w:rFonts w:ascii="Effra" w:hAnsi="Effra"/>
                <w:b/>
                <w:bCs/>
                <w:lang w:val="de-DE"/>
              </w:rPr>
              <w:t>on´t</w:t>
            </w:r>
            <w:r>
              <w:rPr>
                <w:rFonts w:ascii="Effra" w:hAnsi="Effra"/>
                <w:b/>
                <w:bCs/>
                <w:lang w:val="de-DE"/>
              </w:rPr>
              <w:t>s)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8C6D51" w14:textId="2A67349E" w:rsidR="0016285D" w:rsidRPr="006E5DDF" w:rsidRDefault="000E4133" w:rsidP="00F9413C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 xml:space="preserve">Der Leitfaden </w:t>
            </w:r>
            <w:r w:rsidR="00B03E63">
              <w:rPr>
                <w:rFonts w:ascii="Effra" w:hAnsi="Effra"/>
                <w:lang w:val="de-DE"/>
              </w:rPr>
              <w:t xml:space="preserve">enthält detaillierte </w:t>
            </w:r>
            <w:r>
              <w:rPr>
                <w:rFonts w:ascii="Effra" w:hAnsi="Effra"/>
                <w:lang w:val="de-DE"/>
              </w:rPr>
              <w:t>Compliance-Anforderungen</w:t>
            </w:r>
            <w:r w:rsidR="00B03E63">
              <w:rPr>
                <w:rFonts w:ascii="Effra" w:hAnsi="Effra"/>
                <w:lang w:val="de-DE"/>
              </w:rPr>
              <w:t xml:space="preserve"> und wird von Medtronic als Teil de</w:t>
            </w:r>
            <w:r w:rsidR="008E20BC">
              <w:rPr>
                <w:rFonts w:ascii="Effra" w:hAnsi="Effra"/>
                <w:lang w:val="de-DE"/>
              </w:rPr>
              <w:t xml:space="preserve">s Schulungsprogramms für </w:t>
            </w:r>
            <w:r>
              <w:rPr>
                <w:rFonts w:ascii="Effra" w:hAnsi="Effra"/>
                <w:lang w:val="de-DE"/>
              </w:rPr>
              <w:t xml:space="preserve">Compliance-Anforderungen </w:t>
            </w:r>
            <w:r w:rsidR="00B03E63">
              <w:rPr>
                <w:rFonts w:ascii="Effra" w:hAnsi="Effra"/>
                <w:lang w:val="de-DE"/>
              </w:rPr>
              <w:t>genutzt</w:t>
            </w:r>
            <w:r w:rsidR="00B84FF2" w:rsidRPr="006E5DDF">
              <w:rPr>
                <w:rFonts w:ascii="Effra" w:hAnsi="Effra"/>
                <w:lang w:val="de-DE"/>
              </w:rPr>
              <w:t>.</w:t>
            </w:r>
            <w:r w:rsidR="0085503E" w:rsidRPr="006E5DDF">
              <w:rPr>
                <w:rFonts w:ascii="Effra" w:hAnsi="Effra"/>
                <w:lang w:val="de-DE"/>
              </w:rPr>
              <w:t xml:space="preserve"> </w:t>
            </w:r>
            <w:r w:rsidR="008E20BC">
              <w:rPr>
                <w:rFonts w:ascii="Effra" w:hAnsi="Effra"/>
                <w:lang w:val="de-DE"/>
              </w:rPr>
              <w:t xml:space="preserve">Ebenso kann </w:t>
            </w:r>
            <w:r w:rsidR="00994634">
              <w:rPr>
                <w:rFonts w:ascii="Effra" w:hAnsi="Effra"/>
                <w:lang w:val="de-DE"/>
              </w:rPr>
              <w:t xml:space="preserve">ihn </w:t>
            </w:r>
            <w:r w:rsidR="008E20BC">
              <w:rPr>
                <w:rFonts w:ascii="Effra" w:hAnsi="Effra"/>
                <w:lang w:val="de-DE"/>
              </w:rPr>
              <w:t>der Vertriebshändler für die Durchführung eigener Verhaltensschulungen für seine Mitarbeiter verwenden</w:t>
            </w:r>
            <w:r w:rsidR="0085503E" w:rsidRPr="006E5DDF">
              <w:rPr>
                <w:rFonts w:ascii="Effra" w:hAnsi="Effra"/>
                <w:lang w:val="de-DE"/>
              </w:rPr>
              <w:t>.</w:t>
            </w:r>
            <w:r w:rsidR="0089165B" w:rsidRPr="006E5DDF">
              <w:rPr>
                <w:rFonts w:ascii="Effra" w:hAnsi="Effra"/>
                <w:lang w:val="de-DE"/>
              </w:rPr>
              <w:t xml:space="preserve"> </w:t>
            </w:r>
            <w:r w:rsidR="00994634">
              <w:rPr>
                <w:rFonts w:ascii="Effra" w:hAnsi="Effra"/>
                <w:lang w:val="de-DE"/>
              </w:rPr>
              <w:t xml:space="preserve">Er </w:t>
            </w:r>
            <w:r w:rsidR="008E20BC">
              <w:rPr>
                <w:rFonts w:ascii="Effra" w:hAnsi="Effra"/>
                <w:lang w:val="de-DE"/>
              </w:rPr>
              <w:t xml:space="preserve">enthält eine Auswahl wichtiger Themen </w:t>
            </w:r>
            <w:r w:rsidR="003852AC">
              <w:rPr>
                <w:rFonts w:ascii="Effra" w:hAnsi="Effra"/>
                <w:lang w:val="de-DE"/>
              </w:rPr>
              <w:t xml:space="preserve">im Bereich </w:t>
            </w:r>
            <w:r w:rsidR="004C1C6C">
              <w:rPr>
                <w:rFonts w:ascii="Effra" w:hAnsi="Effra"/>
                <w:lang w:val="de-DE"/>
              </w:rPr>
              <w:t xml:space="preserve">der </w:t>
            </w:r>
            <w:r>
              <w:rPr>
                <w:rFonts w:ascii="Effra" w:hAnsi="Effra"/>
                <w:lang w:val="de-DE"/>
              </w:rPr>
              <w:t xml:space="preserve">Compliance-Anforderungen </w:t>
            </w:r>
            <w:r w:rsidR="008E20BC">
              <w:rPr>
                <w:rFonts w:ascii="Effra" w:hAnsi="Effra"/>
                <w:lang w:val="de-DE"/>
              </w:rPr>
              <w:t>wie</w:t>
            </w:r>
            <w:r w:rsidR="0016285D" w:rsidRPr="006E5DDF">
              <w:rPr>
                <w:rFonts w:ascii="Effra" w:hAnsi="Effra"/>
                <w:lang w:val="de-DE"/>
              </w:rPr>
              <w:t>:</w:t>
            </w:r>
          </w:p>
          <w:p w14:paraId="19743973" w14:textId="0BF5106B" w:rsidR="000C31B3" w:rsidRPr="006E5DDF" w:rsidRDefault="008E20B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Allgemeine Grundsätze</w:t>
            </w:r>
          </w:p>
          <w:p w14:paraId="2CF9146E" w14:textId="202DB9BF" w:rsidR="00B84FF2" w:rsidRPr="006E5DDF" w:rsidRDefault="008E20B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Interessenskonflikte</w:t>
            </w:r>
          </w:p>
          <w:p w14:paraId="2FEC660B" w14:textId="3AA601AE" w:rsidR="000C31B3" w:rsidRPr="006E5DDF" w:rsidRDefault="008E20B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Essen, Geschenke, Zuwendungen und Spenden</w:t>
            </w:r>
          </w:p>
          <w:p w14:paraId="2EE1CA10" w14:textId="7966594B" w:rsidR="000C31B3" w:rsidRPr="006E5DDF" w:rsidRDefault="008E20B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Ärztekonferenzen</w:t>
            </w:r>
            <w:r w:rsidR="000C31B3" w:rsidRPr="006E5DDF">
              <w:rPr>
                <w:rFonts w:ascii="Effra" w:hAnsi="Effra"/>
                <w:lang w:val="de-DE"/>
              </w:rPr>
              <w:t xml:space="preserve">, </w:t>
            </w:r>
            <w:r>
              <w:rPr>
                <w:rFonts w:ascii="Effra" w:hAnsi="Effra"/>
                <w:lang w:val="de-DE"/>
              </w:rPr>
              <w:t>Sponsoring und H</w:t>
            </w:r>
            <w:r w:rsidR="000C31B3" w:rsidRPr="006E5DDF">
              <w:rPr>
                <w:rFonts w:ascii="Effra" w:hAnsi="Effra"/>
                <w:lang w:val="de-DE"/>
              </w:rPr>
              <w:t>CP</w:t>
            </w:r>
            <w:r>
              <w:rPr>
                <w:rFonts w:ascii="Effra" w:hAnsi="Effra"/>
                <w:lang w:val="de-DE"/>
              </w:rPr>
              <w:t>-Entschädigungen</w:t>
            </w:r>
          </w:p>
          <w:p w14:paraId="3F456087" w14:textId="2B159C2A" w:rsidR="000C31B3" w:rsidRPr="00F86CB5" w:rsidRDefault="008E20B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 w:rsidRPr="00F86CB5">
              <w:rPr>
                <w:rFonts w:ascii="Effra" w:hAnsi="Effra"/>
                <w:lang w:val="de-DE"/>
              </w:rPr>
              <w:t>Nutzung von Reiseagenturen und Veranstaltungsplanern</w:t>
            </w:r>
          </w:p>
          <w:p w14:paraId="25D08BA8" w14:textId="69047007" w:rsidR="000C31B3" w:rsidRPr="00F86CB5" w:rsidRDefault="003852A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Anschauungsmaterial</w:t>
            </w:r>
            <w:r w:rsidR="000C31B3" w:rsidRPr="00F86CB5">
              <w:rPr>
                <w:rFonts w:ascii="Effra" w:hAnsi="Effra"/>
                <w:lang w:val="de-DE"/>
              </w:rPr>
              <w:t xml:space="preserve">, </w:t>
            </w:r>
            <w:r w:rsidR="008E20BC" w:rsidRPr="00F86CB5">
              <w:rPr>
                <w:rFonts w:ascii="Effra" w:hAnsi="Effra"/>
                <w:lang w:val="de-DE"/>
              </w:rPr>
              <w:t>Gratisprodukte</w:t>
            </w:r>
          </w:p>
          <w:p w14:paraId="2A6A34AA" w14:textId="13BD505F" w:rsidR="000C31B3" w:rsidRPr="006E5DDF" w:rsidRDefault="008E20B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Klinische Studien</w:t>
            </w:r>
          </w:p>
          <w:p w14:paraId="58997C8B" w14:textId="3C5522E8" w:rsidR="000C31B3" w:rsidRPr="006E5DDF" w:rsidRDefault="008E20BC" w:rsidP="000C31B3">
            <w:pPr>
              <w:pStyle w:val="ListParagraph"/>
              <w:numPr>
                <w:ilvl w:val="0"/>
                <w:numId w:val="6"/>
              </w:num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lastRenderedPageBreak/>
              <w:t>Teilnahme an Ausschreibungen</w:t>
            </w:r>
          </w:p>
          <w:p w14:paraId="17FD4406" w14:textId="11B02145" w:rsidR="00B84FF2" w:rsidRPr="006E5DDF" w:rsidRDefault="00B84FF2" w:rsidP="005639EC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327A46" w:rsidRPr="00462BFF" w14:paraId="74581AC8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0D9F4C" w14:textId="308AC911" w:rsidR="00B84FF2" w:rsidRPr="006E5DDF" w:rsidRDefault="00EA0D84" w:rsidP="00F9413C">
            <w:pPr>
              <w:rPr>
                <w:rFonts w:ascii="Effra" w:hAnsi="Effra"/>
                <w:b/>
                <w:lang w:val="de-DE"/>
              </w:rPr>
            </w:pPr>
            <w:r>
              <w:rPr>
                <w:rFonts w:ascii="Effra" w:hAnsi="Effra"/>
                <w:b/>
                <w:lang w:val="de-DE"/>
              </w:rPr>
              <w:lastRenderedPageBreak/>
              <w:t xml:space="preserve">Erklärung zu </w:t>
            </w:r>
            <w:r w:rsidR="00A23320" w:rsidRPr="00A23320">
              <w:rPr>
                <w:rFonts w:ascii="Effra" w:hAnsi="Effra"/>
                <w:b/>
                <w:lang w:val="de-DE"/>
              </w:rPr>
              <w:t>Interessenskonflikt</w:t>
            </w:r>
            <w:r w:rsidR="00D56168">
              <w:rPr>
                <w:rFonts w:ascii="Effra" w:hAnsi="Effra"/>
                <w:b/>
                <w:lang w:val="de-DE"/>
              </w:rPr>
              <w:t xml:space="preserve">en 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59263F" w14:textId="7C0FD997" w:rsidR="00BB4728" w:rsidRPr="006E5DDF" w:rsidRDefault="00DC0A37" w:rsidP="00BB472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Eine Vorlage für eine zeitnahe und effiziente Übermittlung tatsächlicher oder potentieller Interessenskonflikte an Medtronic</w:t>
            </w:r>
            <w:r w:rsidR="00BB4728" w:rsidRPr="006E5DDF">
              <w:rPr>
                <w:rFonts w:ascii="Effra" w:hAnsi="Effra"/>
                <w:lang w:val="de-DE"/>
              </w:rPr>
              <w:t xml:space="preserve">. </w:t>
            </w:r>
            <w:r>
              <w:rPr>
                <w:rFonts w:ascii="Effra" w:hAnsi="Effra"/>
                <w:lang w:val="de-DE"/>
              </w:rPr>
              <w:t>Sie wird ebenfalls dafür genutzt, die jeweiligen Entscheidungen und Lösungswege zu dokumentieren</w:t>
            </w:r>
            <w:r w:rsidR="00BB4728" w:rsidRPr="006E5DDF">
              <w:rPr>
                <w:rFonts w:ascii="Effra" w:hAnsi="Effra"/>
                <w:lang w:val="de-DE"/>
              </w:rPr>
              <w:t>.</w:t>
            </w:r>
          </w:p>
          <w:p w14:paraId="5F5D2805" w14:textId="77777777" w:rsidR="00644329" w:rsidRPr="006E5DDF" w:rsidRDefault="00644329" w:rsidP="00BB4728">
            <w:pPr>
              <w:rPr>
                <w:rFonts w:ascii="Effra" w:hAnsi="Effra"/>
                <w:lang w:val="de-DE"/>
              </w:rPr>
            </w:pPr>
          </w:p>
          <w:p w14:paraId="5EA4D3A4" w14:textId="77777777" w:rsidR="00B84FF2" w:rsidRPr="006E5DDF" w:rsidRDefault="00B84FF2" w:rsidP="005639EC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327A46" w:rsidRPr="00462BFF" w14:paraId="5C63BADF" w14:textId="77777777" w:rsidTr="791A5E45">
        <w:tc>
          <w:tcPr>
            <w:tcW w:w="2965" w:type="dxa"/>
            <w:tcBorders>
              <w:bottom w:val="single" w:sz="6" w:space="0" w:color="auto"/>
            </w:tcBorders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08738C" w14:textId="49ADD2F5" w:rsidR="00B84FF2" w:rsidRPr="006E5DDF" w:rsidRDefault="00A721B0" w:rsidP="00456B09">
            <w:pPr>
              <w:rPr>
                <w:rFonts w:ascii="Effra" w:hAnsi="Effra"/>
                <w:lang w:val="de-DE"/>
              </w:rPr>
            </w:pPr>
            <w:r w:rsidRPr="00A721B0">
              <w:rPr>
                <w:rFonts w:ascii="Effra" w:hAnsi="Effra"/>
                <w:b/>
                <w:lang w:val="de-DE"/>
              </w:rPr>
              <w:t xml:space="preserve">Schulungsformular des Vertriebshändlers für </w:t>
            </w:r>
            <w:r w:rsidR="003D56F8">
              <w:rPr>
                <w:rFonts w:ascii="Effra" w:hAnsi="Effra"/>
                <w:b/>
                <w:lang w:val="de-DE"/>
              </w:rPr>
              <w:t xml:space="preserve">seine </w:t>
            </w:r>
            <w:r w:rsidRPr="00A721B0">
              <w:rPr>
                <w:rFonts w:ascii="Effra" w:hAnsi="Effra"/>
                <w:b/>
                <w:lang w:val="de-DE"/>
              </w:rPr>
              <w:t>Mitarbeiter</w:t>
            </w:r>
          </w:p>
        </w:tc>
        <w:tc>
          <w:tcPr>
            <w:tcW w:w="7825" w:type="dxa"/>
            <w:tcBorders>
              <w:bottom w:val="single" w:sz="6" w:space="0" w:color="auto"/>
            </w:tcBorders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BE6B80" w14:textId="7E80A19A" w:rsidR="00BB4728" w:rsidRPr="006E5DDF" w:rsidRDefault="005C4C16" w:rsidP="00BB472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Für den Nachweis, dass der Vertriebshändler seine Mitarbeiter zum Thema</w:t>
            </w:r>
            <w:r w:rsidR="00D56168">
              <w:rPr>
                <w:rFonts w:ascii="Effra" w:hAnsi="Effra"/>
                <w:lang w:val="de-DE"/>
              </w:rPr>
              <w:t xml:space="preserve"> Compliance </w:t>
            </w:r>
            <w:r>
              <w:rPr>
                <w:rFonts w:ascii="Effra" w:hAnsi="Effra"/>
                <w:lang w:val="de-DE"/>
              </w:rPr>
              <w:t>geschult hat</w:t>
            </w:r>
            <w:r w:rsidR="00BB4728" w:rsidRPr="006E5DDF">
              <w:rPr>
                <w:rFonts w:ascii="Effra" w:hAnsi="Effra"/>
                <w:lang w:val="de-DE"/>
              </w:rPr>
              <w:t>.</w:t>
            </w:r>
          </w:p>
          <w:p w14:paraId="6D26A3E7" w14:textId="77777777" w:rsidR="00DF4381" w:rsidRPr="006E5DDF" w:rsidRDefault="00DF4381" w:rsidP="00BB4728">
            <w:pPr>
              <w:rPr>
                <w:rFonts w:ascii="Effra" w:hAnsi="Effra"/>
                <w:lang w:val="de-DE"/>
              </w:rPr>
            </w:pPr>
          </w:p>
          <w:p w14:paraId="2645BCAB" w14:textId="77777777" w:rsidR="00B84FF2" w:rsidRPr="006E5DDF" w:rsidRDefault="00B84FF2" w:rsidP="005639EC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327A46" w:rsidRPr="00462BFF" w14:paraId="1386E25C" w14:textId="77777777" w:rsidTr="791A5E45">
        <w:tc>
          <w:tcPr>
            <w:tcW w:w="2965" w:type="dxa"/>
            <w:tcBorders>
              <w:top w:val="single" w:sz="6" w:space="0" w:color="auto"/>
              <w:bottom w:val="single" w:sz="4" w:space="0" w:color="auto"/>
            </w:tcBorders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E9AA5F" w14:textId="57506C23" w:rsidR="00BB4728" w:rsidRPr="006E5DDF" w:rsidRDefault="00A721B0" w:rsidP="00644329">
            <w:pPr>
              <w:rPr>
                <w:rFonts w:ascii="Effra" w:hAnsi="Effra"/>
                <w:lang w:val="de-DE"/>
              </w:rPr>
            </w:pPr>
            <w:r w:rsidRPr="00A721B0">
              <w:rPr>
                <w:rFonts w:ascii="Effra" w:hAnsi="Effra"/>
                <w:b/>
                <w:lang w:val="de-DE"/>
              </w:rPr>
              <w:t xml:space="preserve">Meldung </w:t>
            </w:r>
            <w:r w:rsidR="003D56F8">
              <w:rPr>
                <w:rFonts w:ascii="Effra" w:hAnsi="Effra"/>
                <w:b/>
                <w:lang w:val="de-DE"/>
              </w:rPr>
              <w:t xml:space="preserve">im Falle der Zusammenarbeit mit </w:t>
            </w:r>
            <w:r w:rsidRPr="00A721B0">
              <w:rPr>
                <w:rFonts w:ascii="Effra" w:hAnsi="Effra"/>
                <w:b/>
                <w:lang w:val="de-DE"/>
              </w:rPr>
              <w:t>Untervertriebshändlern</w:t>
            </w:r>
          </w:p>
        </w:tc>
        <w:tc>
          <w:tcPr>
            <w:tcW w:w="7825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A68ACE" w14:textId="03C5F9C2" w:rsidR="00BB4728" w:rsidRPr="006E5DDF" w:rsidRDefault="005C4C16" w:rsidP="00BB472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 xml:space="preserve">Mitteilung an </w:t>
            </w:r>
            <w:r w:rsidR="00BB4728" w:rsidRPr="006E5DDF">
              <w:rPr>
                <w:rFonts w:ascii="Effra" w:hAnsi="Effra"/>
                <w:lang w:val="de-DE"/>
              </w:rPr>
              <w:t xml:space="preserve">Medtronic </w:t>
            </w:r>
            <w:r>
              <w:rPr>
                <w:rFonts w:ascii="Effra" w:hAnsi="Effra"/>
                <w:lang w:val="de-DE"/>
              </w:rPr>
              <w:t>über alle eingesetzten und noch einzusetzenden Untervertriebshändler bei der Erfüllung der vertraglich vereinbarten Leistungen</w:t>
            </w:r>
            <w:r w:rsidR="00BB4728" w:rsidRPr="006E5DDF">
              <w:rPr>
                <w:rFonts w:ascii="Effra" w:hAnsi="Effra"/>
                <w:lang w:val="de-DE"/>
              </w:rPr>
              <w:t>.</w:t>
            </w:r>
            <w:r w:rsidR="00833446" w:rsidRPr="006E5DDF">
              <w:rPr>
                <w:rFonts w:ascii="Effra" w:hAnsi="Effra"/>
                <w:lang w:val="de-DE"/>
              </w:rPr>
              <w:t xml:space="preserve"> </w:t>
            </w:r>
            <w:r>
              <w:rPr>
                <w:rFonts w:ascii="Effra" w:hAnsi="Effra"/>
                <w:lang w:val="de-DE"/>
              </w:rPr>
              <w:t>Dieses Dokument ist auch i</w:t>
            </w:r>
            <w:r w:rsidR="003852AC">
              <w:rPr>
                <w:rFonts w:ascii="Effra" w:hAnsi="Effra"/>
                <w:lang w:val="de-DE"/>
              </w:rPr>
              <w:t>m</w:t>
            </w:r>
            <w:r>
              <w:rPr>
                <w:rFonts w:ascii="Effra" w:hAnsi="Effra"/>
                <w:lang w:val="de-DE"/>
              </w:rPr>
              <w:t xml:space="preserve"> Anhang A der Vertriebsvereinbarung mit Medtronic zu finden.</w:t>
            </w:r>
          </w:p>
          <w:p w14:paraId="3139DAAD" w14:textId="77777777" w:rsidR="00BB4728" w:rsidRPr="006E5DDF" w:rsidRDefault="00BB4728" w:rsidP="00DB1675">
            <w:pPr>
              <w:rPr>
                <w:rFonts w:ascii="Effra" w:hAnsi="Effra"/>
                <w:lang w:val="de-DE"/>
              </w:rPr>
            </w:pPr>
          </w:p>
        </w:tc>
      </w:tr>
      <w:tr w:rsidR="00327A46" w:rsidRPr="00462BFF" w14:paraId="166EA96F" w14:textId="77777777" w:rsidTr="791A5E45">
        <w:tc>
          <w:tcPr>
            <w:tcW w:w="2965" w:type="dxa"/>
            <w:tcBorders>
              <w:top w:val="single" w:sz="4" w:space="0" w:color="auto"/>
            </w:tcBorders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F8C77A" w14:textId="60C8A0E5" w:rsidR="00BB4728" w:rsidRPr="006E5DDF" w:rsidRDefault="00A721B0" w:rsidP="006B0A09">
            <w:pPr>
              <w:rPr>
                <w:rFonts w:ascii="Effra" w:hAnsi="Effra"/>
                <w:lang w:val="de-DE"/>
              </w:rPr>
            </w:pPr>
            <w:r w:rsidRPr="00A721B0">
              <w:rPr>
                <w:rFonts w:ascii="Effra" w:hAnsi="Effra"/>
                <w:b/>
                <w:lang w:val="de-DE"/>
              </w:rPr>
              <w:t xml:space="preserve">Schnellprüfung </w:t>
            </w:r>
            <w:r w:rsidR="003D56F8">
              <w:rPr>
                <w:rFonts w:ascii="Effra" w:hAnsi="Effra"/>
                <w:b/>
                <w:lang w:val="de-DE"/>
              </w:rPr>
              <w:t>der</w:t>
            </w:r>
            <w:r w:rsidR="00EA0D84">
              <w:rPr>
                <w:rFonts w:ascii="Effra" w:hAnsi="Effra"/>
                <w:b/>
                <w:lang w:val="de-DE"/>
              </w:rPr>
              <w:t xml:space="preserve"> Due Dilligence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904CE1" w14:textId="68B3BBF9" w:rsidR="00BB4728" w:rsidRPr="006E5DDF" w:rsidRDefault="009B67FB" w:rsidP="00BB472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 xml:space="preserve">Formular zur </w:t>
            </w:r>
            <w:r w:rsidR="005C4C16">
              <w:rPr>
                <w:rFonts w:ascii="Effra" w:hAnsi="Effra"/>
                <w:lang w:val="de-DE"/>
              </w:rPr>
              <w:t xml:space="preserve">Dokumentierung der </w:t>
            </w:r>
            <w:r w:rsidR="00885ED9">
              <w:rPr>
                <w:rFonts w:ascii="Effra" w:hAnsi="Effra"/>
                <w:lang w:val="de-DE"/>
              </w:rPr>
              <w:t xml:space="preserve">durch die Untervertriebshändler erbrachten oder zu erbringenden </w:t>
            </w:r>
            <w:r w:rsidR="005C4C16">
              <w:rPr>
                <w:rFonts w:ascii="Effra" w:hAnsi="Effra"/>
                <w:lang w:val="de-DE"/>
              </w:rPr>
              <w:t xml:space="preserve">Leistungen </w:t>
            </w:r>
            <w:r w:rsidR="00885ED9">
              <w:rPr>
                <w:rFonts w:ascii="Effra" w:hAnsi="Effra"/>
                <w:lang w:val="de-DE"/>
              </w:rPr>
              <w:t xml:space="preserve">hinsichtlich </w:t>
            </w:r>
            <w:r w:rsidR="00EA0D84">
              <w:rPr>
                <w:rFonts w:ascii="Effra" w:hAnsi="Effra"/>
                <w:lang w:val="de-DE"/>
              </w:rPr>
              <w:t xml:space="preserve">der Due Dilligence </w:t>
            </w:r>
            <w:r w:rsidR="00885ED9">
              <w:rPr>
                <w:rFonts w:ascii="Effra" w:hAnsi="Effra"/>
                <w:lang w:val="de-DE"/>
              </w:rPr>
              <w:t>im Rahmen der Vertriebsvereinbarung</w:t>
            </w:r>
            <w:r w:rsidR="00BB4728" w:rsidRPr="006E5DDF">
              <w:rPr>
                <w:rFonts w:ascii="Effra" w:hAnsi="Effra"/>
                <w:lang w:val="de-DE"/>
              </w:rPr>
              <w:t>.</w:t>
            </w:r>
          </w:p>
          <w:p w14:paraId="5136853A" w14:textId="77777777" w:rsidR="00DF4381" w:rsidRPr="006E5DDF" w:rsidRDefault="00DF4381" w:rsidP="00BB4728">
            <w:pPr>
              <w:rPr>
                <w:rFonts w:ascii="Effra" w:hAnsi="Effra"/>
                <w:lang w:val="de-DE"/>
              </w:rPr>
            </w:pPr>
          </w:p>
          <w:p w14:paraId="24095E2D" w14:textId="52E25DD5" w:rsidR="00DF4381" w:rsidRPr="00DB1675" w:rsidRDefault="00DF4381" w:rsidP="00DB1675">
            <w:pPr>
              <w:rPr>
                <w:rFonts w:ascii="Effra" w:hAnsi="Effra"/>
                <w:lang w:val="de-DE"/>
              </w:rPr>
            </w:pPr>
          </w:p>
        </w:tc>
      </w:tr>
      <w:tr w:rsidR="00327A46" w:rsidRPr="00462BFF" w14:paraId="29CCF7C3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163EFC" w14:textId="6B703B66" w:rsidR="00BB4728" w:rsidRPr="006E5DDF" w:rsidRDefault="00A721B0" w:rsidP="00BB4728">
            <w:pPr>
              <w:rPr>
                <w:rFonts w:ascii="Effra" w:hAnsi="Effra"/>
                <w:b/>
                <w:lang w:val="de-DE"/>
              </w:rPr>
            </w:pPr>
            <w:r w:rsidRPr="00A721B0">
              <w:rPr>
                <w:rFonts w:ascii="Effra" w:hAnsi="Effra"/>
                <w:b/>
                <w:lang w:val="de-DE"/>
              </w:rPr>
              <w:t>Formular für Ausgabenrückerstattung</w:t>
            </w:r>
            <w:r w:rsidR="009B67FB">
              <w:rPr>
                <w:rFonts w:ascii="Effra" w:hAnsi="Effra"/>
                <w:b/>
                <w:lang w:val="de-DE"/>
              </w:rPr>
              <w:t>en</w:t>
            </w:r>
          </w:p>
          <w:p w14:paraId="6BC876B9" w14:textId="77777777" w:rsidR="00BB4728" w:rsidRPr="006E5DDF" w:rsidRDefault="00BB4728" w:rsidP="00BB4728">
            <w:pPr>
              <w:rPr>
                <w:rFonts w:ascii="Effra" w:hAnsi="Effra"/>
                <w:lang w:val="de-DE"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799EF3" w14:textId="38608ED1" w:rsidR="00BB4728" w:rsidRPr="006E5DDF" w:rsidRDefault="00885ED9" w:rsidP="00BB472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 xml:space="preserve">Vorlage </w:t>
            </w:r>
            <w:r w:rsidR="009B67FB">
              <w:rPr>
                <w:rFonts w:ascii="Effra" w:hAnsi="Effra"/>
                <w:lang w:val="de-DE"/>
              </w:rPr>
              <w:t xml:space="preserve">zur </w:t>
            </w:r>
            <w:r>
              <w:rPr>
                <w:rFonts w:ascii="Effra" w:hAnsi="Effra"/>
                <w:lang w:val="de-DE"/>
              </w:rPr>
              <w:t xml:space="preserve">Unterstützung und </w:t>
            </w:r>
            <w:r w:rsidR="009B67FB">
              <w:rPr>
                <w:rFonts w:ascii="Effra" w:hAnsi="Effra"/>
                <w:lang w:val="de-DE"/>
              </w:rPr>
              <w:t xml:space="preserve">zum </w:t>
            </w:r>
            <w:r>
              <w:rPr>
                <w:rFonts w:ascii="Effra" w:hAnsi="Effra"/>
                <w:lang w:val="de-DE"/>
              </w:rPr>
              <w:t>Nachweis bei Geschäftsreisen</w:t>
            </w:r>
            <w:r w:rsidR="006142CF" w:rsidRPr="006E5DDF">
              <w:rPr>
                <w:rFonts w:ascii="Effra" w:hAnsi="Effra"/>
                <w:lang w:val="de-DE"/>
              </w:rPr>
              <w:t xml:space="preserve">, </w:t>
            </w:r>
            <w:r w:rsidR="0087125C">
              <w:rPr>
                <w:rFonts w:ascii="Effra" w:hAnsi="Effra"/>
                <w:lang w:val="de-DE"/>
              </w:rPr>
              <w:t>Treffen</w:t>
            </w:r>
            <w:r>
              <w:rPr>
                <w:rFonts w:ascii="Effra" w:hAnsi="Effra"/>
                <w:lang w:val="de-DE"/>
              </w:rPr>
              <w:t xml:space="preserve"> und Ausgaben im Zusammenhang mit Kontakten zu bestehenden oder potentiellen Kunden</w:t>
            </w:r>
            <w:r w:rsidR="00BB4728" w:rsidRPr="006E5DDF">
              <w:rPr>
                <w:rFonts w:ascii="Effra" w:hAnsi="Effra"/>
                <w:lang w:val="de-DE"/>
              </w:rPr>
              <w:t xml:space="preserve">. </w:t>
            </w:r>
            <w:r>
              <w:rPr>
                <w:rFonts w:ascii="Effra" w:hAnsi="Effra"/>
                <w:lang w:val="de-DE"/>
              </w:rPr>
              <w:t>Der Vertriebshändler ist verpflichtet, Obergrenzen für geschäftsrelevante</w:t>
            </w:r>
            <w:r w:rsidR="004872AE">
              <w:rPr>
                <w:rFonts w:ascii="Effra" w:hAnsi="Effra"/>
                <w:lang w:val="de-DE"/>
              </w:rPr>
              <w:t xml:space="preserve"> Ausgaben wie Essen, Getränke, Unterbringung und gelegentlicher Unterrichtungen </w:t>
            </w:r>
            <w:r>
              <w:rPr>
                <w:rFonts w:ascii="Effra" w:hAnsi="Effra"/>
                <w:lang w:val="de-DE"/>
              </w:rPr>
              <w:t>festzulegen</w:t>
            </w:r>
            <w:r w:rsidR="00BB4728" w:rsidRPr="006E5DDF">
              <w:rPr>
                <w:rFonts w:ascii="Effra" w:hAnsi="Effra"/>
                <w:lang w:val="de-DE"/>
              </w:rPr>
              <w:t>.</w:t>
            </w:r>
          </w:p>
          <w:p w14:paraId="4A6EF8F5" w14:textId="77777777" w:rsidR="006142CF" w:rsidRPr="006E5DDF" w:rsidRDefault="006142CF" w:rsidP="00BB4728">
            <w:pPr>
              <w:rPr>
                <w:rFonts w:ascii="Effra" w:hAnsi="Effra"/>
                <w:lang w:val="de-DE"/>
              </w:rPr>
            </w:pPr>
          </w:p>
          <w:p w14:paraId="0AE748D0" w14:textId="5839A602" w:rsidR="00644329" w:rsidRPr="006E5DDF" w:rsidRDefault="00644329" w:rsidP="00DB1675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  <w:p w14:paraId="047F7C37" w14:textId="77777777" w:rsidR="00BB4728" w:rsidRPr="006E5DDF" w:rsidRDefault="00BB4728" w:rsidP="00BB4728">
            <w:pPr>
              <w:rPr>
                <w:rFonts w:ascii="Effra" w:hAnsi="Effra"/>
                <w:lang w:val="de-DE"/>
              </w:rPr>
            </w:pPr>
          </w:p>
        </w:tc>
      </w:tr>
      <w:tr w:rsidR="00327A46" w:rsidRPr="00462BFF" w14:paraId="503AE1CF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5B8A5C" w14:textId="5E7A3393" w:rsidR="00BB4728" w:rsidRPr="009B6FC2" w:rsidRDefault="005818F1" w:rsidP="00BB4728">
            <w:pPr>
              <w:rPr>
                <w:rFonts w:ascii="Effra" w:hAnsi="Effra"/>
                <w:b/>
                <w:color w:val="FF0000"/>
                <w:lang w:val="de-DE"/>
              </w:rPr>
            </w:pPr>
            <w:r w:rsidRPr="009B6FC2">
              <w:rPr>
                <w:rFonts w:ascii="Effra" w:hAnsi="Effra"/>
                <w:b/>
                <w:lang w:val="de-DE"/>
              </w:rPr>
              <w:t xml:space="preserve">Dokumentation </w:t>
            </w:r>
            <w:r w:rsidR="00EA0D84" w:rsidRPr="009B6FC2">
              <w:rPr>
                <w:rFonts w:ascii="Effra" w:hAnsi="Effra"/>
                <w:b/>
                <w:lang w:val="de-DE"/>
              </w:rPr>
              <w:t xml:space="preserve">bei </w:t>
            </w:r>
            <w:r w:rsidR="00692546" w:rsidRPr="009B6FC2">
              <w:rPr>
                <w:rFonts w:ascii="Effra" w:hAnsi="Effra"/>
                <w:b/>
                <w:lang w:val="de-DE"/>
              </w:rPr>
              <w:t xml:space="preserve">Testprodukten </w:t>
            </w:r>
            <w:r w:rsidR="00692546" w:rsidRPr="009B6FC2" w:rsidDel="003D56F8">
              <w:rPr>
                <w:rFonts w:ascii="Effra" w:hAnsi="Effra"/>
                <w:b/>
                <w:lang w:val="de-DE"/>
              </w:rPr>
              <w:t xml:space="preserve"> </w:t>
            </w:r>
          </w:p>
          <w:p w14:paraId="2DC53A07" w14:textId="77777777" w:rsidR="00BB4728" w:rsidRPr="009B6FC2" w:rsidRDefault="00BB4728" w:rsidP="00BB4728">
            <w:pPr>
              <w:rPr>
                <w:rFonts w:ascii="Effra" w:hAnsi="Effra"/>
                <w:color w:val="FF0000"/>
                <w:lang w:val="de-DE"/>
              </w:rPr>
            </w:pP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E32FE8" w14:textId="27C47F9E" w:rsidR="00BB4728" w:rsidRPr="009B67FB" w:rsidRDefault="004872AE" w:rsidP="00FD0794">
            <w:pPr>
              <w:rPr>
                <w:rFonts w:ascii="Effra" w:hAnsi="Effra"/>
                <w:lang w:val="de-DE"/>
              </w:rPr>
            </w:pPr>
            <w:r w:rsidRPr="009B67FB">
              <w:rPr>
                <w:rFonts w:ascii="Effra" w:hAnsi="Effra"/>
                <w:lang w:val="de-DE"/>
              </w:rPr>
              <w:t xml:space="preserve">Dieses Formular kann für die korrekte Dokumentierung und Nachforschung </w:t>
            </w:r>
            <w:r w:rsidR="009B67FB" w:rsidRPr="009B6FC2">
              <w:rPr>
                <w:rFonts w:ascii="Effra" w:hAnsi="Effra"/>
                <w:lang w:val="de-DE"/>
              </w:rPr>
              <w:t>in Zusammenhang mit Tes</w:t>
            </w:r>
            <w:r w:rsidR="009B67FB">
              <w:rPr>
                <w:rFonts w:ascii="Effra" w:hAnsi="Effra"/>
                <w:lang w:val="de-DE"/>
              </w:rPr>
              <w:t>t</w:t>
            </w:r>
            <w:r w:rsidR="009B67FB" w:rsidRPr="009B6FC2">
              <w:rPr>
                <w:rFonts w:ascii="Effra" w:hAnsi="Effra"/>
                <w:lang w:val="de-DE"/>
              </w:rPr>
              <w:t>produkten</w:t>
            </w:r>
            <w:r w:rsidRPr="009B67FB">
              <w:rPr>
                <w:rFonts w:ascii="Effra" w:hAnsi="Effra"/>
                <w:lang w:val="de-DE"/>
              </w:rPr>
              <w:t>, die an die Kunden weitergegeben wurden, verwendet werden</w:t>
            </w:r>
            <w:r w:rsidR="00FD0794" w:rsidRPr="009B67FB">
              <w:rPr>
                <w:rFonts w:ascii="Effra" w:hAnsi="Effra"/>
                <w:lang w:val="de-DE"/>
              </w:rPr>
              <w:t xml:space="preserve">. </w:t>
            </w:r>
            <w:r w:rsidR="0085676F" w:rsidRPr="009B67FB">
              <w:rPr>
                <w:rFonts w:ascii="Effra" w:hAnsi="Effra"/>
                <w:lang w:val="de-DE"/>
              </w:rPr>
              <w:t xml:space="preserve">Als </w:t>
            </w:r>
            <w:r w:rsidR="009B67FB">
              <w:rPr>
                <w:rFonts w:ascii="Effra" w:hAnsi="Effra"/>
                <w:lang w:val="de-DE"/>
              </w:rPr>
              <w:t xml:space="preserve">Testprodukt </w:t>
            </w:r>
            <w:r w:rsidR="009B67FB" w:rsidRPr="009B67FB">
              <w:rPr>
                <w:rFonts w:ascii="Effra" w:hAnsi="Effra"/>
                <w:lang w:val="de-DE"/>
              </w:rPr>
              <w:t>g</w:t>
            </w:r>
            <w:r w:rsidR="009B67FB">
              <w:rPr>
                <w:rFonts w:ascii="Effra" w:hAnsi="Effra"/>
                <w:lang w:val="de-DE"/>
              </w:rPr>
              <w:t>elten</w:t>
            </w:r>
            <w:r w:rsidR="0085676F" w:rsidRPr="009B67FB">
              <w:rPr>
                <w:rFonts w:ascii="Effra" w:hAnsi="Effra"/>
                <w:lang w:val="de-DE"/>
              </w:rPr>
              <w:t xml:space="preserve"> Material</w:t>
            </w:r>
            <w:r w:rsidR="009B67FB">
              <w:rPr>
                <w:rFonts w:ascii="Effra" w:hAnsi="Effra"/>
                <w:lang w:val="de-DE"/>
              </w:rPr>
              <w:t>ien</w:t>
            </w:r>
            <w:r w:rsidR="0085676F" w:rsidRPr="009B67FB">
              <w:rPr>
                <w:rFonts w:ascii="Effra" w:hAnsi="Effra"/>
                <w:lang w:val="de-DE"/>
              </w:rPr>
              <w:t xml:space="preserve"> oder Ausrüstung</w:t>
            </w:r>
            <w:r w:rsidR="009B67FB">
              <w:rPr>
                <w:rFonts w:ascii="Effra" w:hAnsi="Effra"/>
                <w:lang w:val="de-DE"/>
              </w:rPr>
              <w:t>en</w:t>
            </w:r>
            <w:r w:rsidR="0085676F" w:rsidRPr="009B67FB">
              <w:rPr>
                <w:rFonts w:ascii="Effra" w:hAnsi="Effra"/>
                <w:lang w:val="de-DE"/>
              </w:rPr>
              <w:t>, die dem Kunden</w:t>
            </w:r>
            <w:r w:rsidR="009B67FB">
              <w:rPr>
                <w:rFonts w:ascii="Effra" w:hAnsi="Effra"/>
                <w:lang w:val="de-DE"/>
              </w:rPr>
              <w:t xml:space="preserve">, in Übereinstimmung mit den </w:t>
            </w:r>
            <w:r w:rsidR="00692546">
              <w:rPr>
                <w:rFonts w:ascii="Effra" w:hAnsi="Effra"/>
                <w:lang w:val="de-DE"/>
              </w:rPr>
              <w:t>jeweiligen landesspezifischen Gesetzen,</w:t>
            </w:r>
            <w:r w:rsidR="0085676F" w:rsidRPr="009B67FB">
              <w:rPr>
                <w:rFonts w:ascii="Effra" w:hAnsi="Effra"/>
                <w:lang w:val="de-DE"/>
              </w:rPr>
              <w:t xml:space="preserve"> </w:t>
            </w:r>
            <w:r w:rsidR="0026704B" w:rsidRPr="009B67FB">
              <w:rPr>
                <w:rFonts w:ascii="Effra" w:hAnsi="Effra"/>
                <w:lang w:val="de-DE"/>
              </w:rPr>
              <w:t>zum Überprüfen der entsprechenden Funktionsfähigkeit</w:t>
            </w:r>
            <w:r w:rsidR="0085676F" w:rsidRPr="009B67FB">
              <w:rPr>
                <w:rFonts w:ascii="Effra" w:hAnsi="Effra"/>
                <w:lang w:val="de-DE"/>
              </w:rPr>
              <w:t xml:space="preserve"> gratis zur Verfügung gestellt </w:t>
            </w:r>
            <w:r w:rsidR="009B67FB">
              <w:rPr>
                <w:rFonts w:ascii="Effra" w:hAnsi="Effra"/>
                <w:lang w:val="de-DE"/>
              </w:rPr>
              <w:t>werden</w:t>
            </w:r>
            <w:r w:rsidR="00692546">
              <w:rPr>
                <w:rFonts w:ascii="Effra" w:hAnsi="Effra"/>
                <w:lang w:val="de-DE"/>
              </w:rPr>
              <w:t xml:space="preserve">. </w:t>
            </w:r>
          </w:p>
          <w:p w14:paraId="6E30E0D2" w14:textId="77777777" w:rsidR="00BB4728" w:rsidRPr="00692546" w:rsidRDefault="00BB4728" w:rsidP="00BB4728">
            <w:pPr>
              <w:rPr>
                <w:rFonts w:ascii="Effra" w:hAnsi="Effra"/>
                <w:lang w:val="de-DE"/>
              </w:rPr>
            </w:pPr>
          </w:p>
          <w:p w14:paraId="024FF371" w14:textId="642DD68B" w:rsidR="00644329" w:rsidRPr="009B6FC2" w:rsidRDefault="00644329" w:rsidP="00DB1675">
            <w:pPr>
              <w:pStyle w:val="ListParagraph"/>
              <w:ind w:left="1080"/>
              <w:rPr>
                <w:rFonts w:ascii="Effra" w:hAnsi="Effra"/>
                <w:color w:val="FF0000"/>
                <w:lang w:val="de-DE"/>
              </w:rPr>
            </w:pPr>
          </w:p>
        </w:tc>
      </w:tr>
      <w:tr w:rsidR="00327A46" w:rsidRPr="00462BFF" w14:paraId="7FC39DE6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3D37BB" w14:textId="29D07DB7" w:rsidR="00BB4728" w:rsidRPr="006E5DDF" w:rsidRDefault="00A721B0" w:rsidP="00B640AA">
            <w:pPr>
              <w:rPr>
                <w:rFonts w:ascii="Effra" w:hAnsi="Effra"/>
                <w:lang w:val="de-DE"/>
              </w:rPr>
            </w:pPr>
            <w:r w:rsidRPr="00A721B0">
              <w:rPr>
                <w:rFonts w:ascii="Effra" w:hAnsi="Effra"/>
                <w:b/>
                <w:lang w:val="de-DE"/>
              </w:rPr>
              <w:t>Meldeschreiben für Beratungsvereinbarung an HCP-Auftraggeber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FC3507" w14:textId="7F337DB1" w:rsidR="00BB4728" w:rsidRPr="006E5DDF" w:rsidRDefault="0026704B" w:rsidP="00BB472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Musteranschreiben</w:t>
            </w:r>
            <w:r w:rsidR="0097394C">
              <w:rPr>
                <w:rFonts w:ascii="Effra" w:hAnsi="Effra"/>
                <w:lang w:val="de-DE"/>
              </w:rPr>
              <w:t xml:space="preserve">, um den Unternehmer über die Beauftragung von Gesundheitsexperten als Redner oder bei Beratungsdiensten bzw. deren Sponsoring bei Bildungsveranstaltungen oder </w:t>
            </w:r>
            <w:r w:rsidR="0097394C">
              <w:rPr>
                <w:rFonts w:ascii="Effra" w:hAnsi="Effra"/>
                <w:lang w:val="de-DE"/>
              </w:rPr>
              <w:lastRenderedPageBreak/>
              <w:t>Produktschulungen zu informieren und dessen Zustimmung zu erhalten</w:t>
            </w:r>
            <w:r w:rsidR="00BB4728" w:rsidRPr="006E5DDF">
              <w:rPr>
                <w:rFonts w:ascii="Effra" w:hAnsi="Effra"/>
                <w:lang w:val="de-DE"/>
              </w:rPr>
              <w:t>.</w:t>
            </w:r>
          </w:p>
          <w:p w14:paraId="16ABF575" w14:textId="5DF44B70" w:rsidR="00644329" w:rsidRPr="006E5DDF" w:rsidRDefault="00644329" w:rsidP="00BB4728">
            <w:pPr>
              <w:rPr>
                <w:rFonts w:ascii="Effra" w:hAnsi="Effra"/>
                <w:lang w:val="de-DE"/>
              </w:rPr>
            </w:pPr>
          </w:p>
          <w:p w14:paraId="228FBFF3" w14:textId="77777777" w:rsidR="00BB4728" w:rsidRPr="006E5DDF" w:rsidRDefault="00BB4728" w:rsidP="00DB1675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327A46" w:rsidRPr="00462BFF" w14:paraId="5D5D3CB4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72954B" w14:textId="288947F0" w:rsidR="00BB4728" w:rsidRPr="006E5DDF" w:rsidRDefault="00A721B0" w:rsidP="00BB4728">
            <w:pPr>
              <w:rPr>
                <w:rFonts w:ascii="Effra" w:hAnsi="Effra"/>
                <w:lang w:val="de-DE"/>
              </w:rPr>
            </w:pPr>
            <w:r w:rsidRPr="00A721B0">
              <w:rPr>
                <w:rFonts w:ascii="Effra" w:hAnsi="Effra"/>
                <w:b/>
                <w:lang w:val="de-DE"/>
              </w:rPr>
              <w:lastRenderedPageBreak/>
              <w:t>Vereinbarung über Sponsoring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5BD412" w14:textId="3934A4C7" w:rsidR="00BB4728" w:rsidRPr="006E5DDF" w:rsidRDefault="0097394C" w:rsidP="00BB472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Diese Vorlage dient dazu, die Unterstützung eines von Dritten ausgerichteten Kongresses als Gegenleistung für bestimmte Sponsorenrechte</w:t>
            </w:r>
            <w:r w:rsidR="00BB4728" w:rsidRPr="006E5DDF">
              <w:rPr>
                <w:rFonts w:ascii="Effra" w:hAnsi="Effra"/>
                <w:lang w:val="de-DE"/>
              </w:rPr>
              <w:t xml:space="preserve"> (</w:t>
            </w:r>
            <w:r>
              <w:rPr>
                <w:rFonts w:ascii="Effra" w:hAnsi="Effra"/>
                <w:lang w:val="de-DE"/>
              </w:rPr>
              <w:t>z.B. Stände, Werbung während des Programms und auf Namensschildern, Anerkennung der Unterstützung</w:t>
            </w:r>
            <w:r w:rsidR="00BB4728" w:rsidRPr="006E5DDF">
              <w:rPr>
                <w:rFonts w:ascii="Effra" w:hAnsi="Effra"/>
                <w:lang w:val="de-DE"/>
              </w:rPr>
              <w:t xml:space="preserve">) </w:t>
            </w:r>
            <w:r>
              <w:rPr>
                <w:rFonts w:ascii="Effra" w:hAnsi="Effra"/>
                <w:lang w:val="de-DE"/>
              </w:rPr>
              <w:t>zu dokumentieren, die dem Vertriebshändler die Möglichkeit gibt, die Marke Medtronic und deren Produkte einem Fachpublikum vorzustellen</w:t>
            </w:r>
            <w:r w:rsidR="00BB4728" w:rsidRPr="006E5DDF">
              <w:rPr>
                <w:rFonts w:ascii="Effra" w:hAnsi="Effra"/>
                <w:lang w:val="de-DE"/>
              </w:rPr>
              <w:t>.</w:t>
            </w:r>
          </w:p>
          <w:p w14:paraId="5482E20B" w14:textId="3C26B4BC" w:rsidR="00644329" w:rsidRPr="006E5DDF" w:rsidRDefault="00644329" w:rsidP="00BB4728">
            <w:pPr>
              <w:rPr>
                <w:rFonts w:ascii="Effra" w:hAnsi="Effra"/>
                <w:lang w:val="de-DE"/>
              </w:rPr>
            </w:pPr>
          </w:p>
          <w:p w14:paraId="5ED6468B" w14:textId="77777777" w:rsidR="00BB4728" w:rsidRPr="006E5DDF" w:rsidRDefault="00BB4728" w:rsidP="00DB1675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327A46" w:rsidRPr="00462BFF" w14:paraId="156B961C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8D4303" w14:textId="6FF1CF33" w:rsidR="005412E9" w:rsidRPr="006E5DDF" w:rsidRDefault="00327A46" w:rsidP="00327A46">
            <w:pPr>
              <w:rPr>
                <w:rFonts w:ascii="Effra" w:hAnsi="Effra"/>
                <w:b/>
                <w:lang w:val="de-DE"/>
              </w:rPr>
            </w:pPr>
            <w:r>
              <w:rPr>
                <w:rFonts w:ascii="Effra" w:hAnsi="Effra"/>
                <w:b/>
                <w:lang w:val="de-DE"/>
              </w:rPr>
              <w:t xml:space="preserve">Qualitätsanforderungen 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7701B" w14:textId="30A6FE0F" w:rsidR="00106F78" w:rsidRPr="006E5DDF" w:rsidRDefault="001E7845" w:rsidP="00106F78">
            <w:pPr>
              <w:rPr>
                <w:rFonts w:ascii="Effra" w:hAnsi="Effra"/>
                <w:lang w:val="de-DE"/>
              </w:rPr>
            </w:pPr>
            <w:r>
              <w:rPr>
                <w:rFonts w:ascii="Effra" w:hAnsi="Effra"/>
                <w:lang w:val="de-DE"/>
              </w:rPr>
              <w:t>Präsentation, bei der Qualitäts- und Regulierungsanforderungen erläutert werden, die für die Vertriebshändler von Medtronic gelten, einschließlich Produktreklamationen, Produkthandhabung u</w:t>
            </w:r>
            <w:r w:rsidR="00106F78" w:rsidRPr="006E5DDF">
              <w:rPr>
                <w:rFonts w:ascii="Effra" w:hAnsi="Effra"/>
                <w:lang w:val="de-DE"/>
              </w:rPr>
              <w:t xml:space="preserve">nd </w:t>
            </w:r>
            <w:r>
              <w:rPr>
                <w:rFonts w:ascii="Effra" w:hAnsi="Effra"/>
                <w:lang w:val="de-DE"/>
              </w:rPr>
              <w:t>Korrekturmaßnahmen vor Ort</w:t>
            </w:r>
            <w:r w:rsidR="00106F78" w:rsidRPr="006E5DDF">
              <w:rPr>
                <w:rFonts w:ascii="Effra" w:hAnsi="Effra"/>
                <w:lang w:val="de-DE"/>
              </w:rPr>
              <w:t xml:space="preserve">. </w:t>
            </w:r>
            <w:r>
              <w:rPr>
                <w:rFonts w:ascii="Effra" w:hAnsi="Effra"/>
                <w:lang w:val="de-DE"/>
              </w:rPr>
              <w:t xml:space="preserve">Enthalten sind detaillierte Anweisungen für die Verwendung der </w:t>
            </w:r>
            <w:r w:rsidR="00106F78" w:rsidRPr="006E5DDF">
              <w:rPr>
                <w:rFonts w:ascii="Effra" w:hAnsi="Effra"/>
                <w:lang w:val="de-DE"/>
              </w:rPr>
              <w:t>mPXR</w:t>
            </w:r>
            <w:r>
              <w:rPr>
                <w:rFonts w:ascii="Effra" w:hAnsi="Effra"/>
                <w:lang w:val="de-DE"/>
              </w:rPr>
              <w:t>-Seite für die Mitteilung von Produktreklamationen</w:t>
            </w:r>
            <w:r w:rsidR="00106F78" w:rsidRPr="006E5DDF">
              <w:rPr>
                <w:rFonts w:ascii="Effra" w:hAnsi="Effra"/>
                <w:lang w:val="de-DE"/>
              </w:rPr>
              <w:t>.</w:t>
            </w:r>
          </w:p>
          <w:p w14:paraId="1FE47548" w14:textId="77777777" w:rsidR="00106F78" w:rsidRPr="006E5DDF" w:rsidRDefault="00106F78" w:rsidP="00106F78">
            <w:pPr>
              <w:rPr>
                <w:rFonts w:ascii="Effra" w:hAnsi="Effra"/>
                <w:lang w:val="de-DE"/>
              </w:rPr>
            </w:pPr>
          </w:p>
          <w:p w14:paraId="2950A235" w14:textId="77777777" w:rsidR="005412E9" w:rsidRPr="006E5DDF" w:rsidRDefault="005412E9" w:rsidP="00DB1675">
            <w:pPr>
              <w:pStyle w:val="ListParagraph"/>
              <w:ind w:left="1080"/>
              <w:rPr>
                <w:rFonts w:ascii="Effra" w:hAnsi="Effra"/>
                <w:lang w:val="de-DE"/>
              </w:rPr>
            </w:pPr>
          </w:p>
        </w:tc>
      </w:tr>
      <w:tr w:rsidR="00462BFF" w:rsidRPr="00462BFF" w14:paraId="0C44291C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FDC129" w14:textId="27A6560E" w:rsidR="00462BFF" w:rsidRPr="00462BFF" w:rsidRDefault="00462BFF" w:rsidP="00327A46">
            <w:pPr>
              <w:rPr>
                <w:rFonts w:ascii="Effra" w:hAnsi="Effra"/>
                <w:b/>
                <w:lang w:val="de-DE"/>
              </w:rPr>
            </w:pPr>
            <w:r w:rsidRPr="00462BFF">
              <w:rPr>
                <w:rFonts w:ascii="Effra" w:hAnsi="Effra"/>
                <w:b/>
                <w:lang w:val="de-DE"/>
              </w:rPr>
              <w:t>Genehmigung eines Beihilfe- oder Spendenantrags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E7F8E5" w14:textId="53301318" w:rsidR="00462BFF" w:rsidRPr="00462BFF" w:rsidRDefault="00462BFF" w:rsidP="00106F78">
            <w:pPr>
              <w:rPr>
                <w:rFonts w:ascii="Effra" w:hAnsi="Effra"/>
                <w:lang w:val="de-DE"/>
              </w:rPr>
            </w:pPr>
            <w:r w:rsidRPr="00462BFF">
              <w:rPr>
                <w:rFonts w:ascii="Effra" w:hAnsi="Effra"/>
                <w:lang w:val="de-DE"/>
              </w:rPr>
              <w:t xml:space="preserve">Diese Vorlage dient </w:t>
            </w:r>
            <w:r>
              <w:rPr>
                <w:rFonts w:ascii="Effra" w:hAnsi="Effra"/>
                <w:lang w:val="de-DE"/>
              </w:rPr>
              <w:t xml:space="preserve">zu der </w:t>
            </w:r>
            <w:r w:rsidRPr="00462BFF">
              <w:rPr>
                <w:rFonts w:ascii="Effra" w:hAnsi="Effra"/>
                <w:lang w:val="de-DE"/>
              </w:rPr>
              <w:t>Genehmigung eines Beihilfe- oder Spendenantrags</w:t>
            </w:r>
            <w:r>
              <w:rPr>
                <w:rFonts w:ascii="Effra" w:hAnsi="Effra"/>
                <w:lang w:val="de-DE"/>
              </w:rPr>
              <w:t>.</w:t>
            </w:r>
          </w:p>
        </w:tc>
      </w:tr>
      <w:tr w:rsidR="00462BFF" w:rsidRPr="00462BFF" w14:paraId="4EE1DA8A" w14:textId="77777777" w:rsidTr="791A5E45">
        <w:tc>
          <w:tcPr>
            <w:tcW w:w="2965" w:type="dxa"/>
            <w:shd w:val="clear" w:color="auto" w:fill="C5F0FF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ED43D7" w14:textId="040B32E3" w:rsidR="00462BFF" w:rsidRPr="00462BFF" w:rsidRDefault="00462BFF" w:rsidP="00327A46">
            <w:pPr>
              <w:rPr>
                <w:rFonts w:ascii="Effra" w:hAnsi="Effra"/>
                <w:b/>
                <w:lang w:val="de-DE"/>
              </w:rPr>
            </w:pPr>
            <w:r w:rsidRPr="00462BFF">
              <w:rPr>
                <w:rFonts w:ascii="Effra" w:hAnsi="Effra"/>
                <w:b/>
                <w:lang w:val="de-DE"/>
              </w:rPr>
              <w:t>HCPs Treffen, Veranstaltung oder Schulung Genehmigung</w:t>
            </w:r>
          </w:p>
        </w:tc>
        <w:tc>
          <w:tcPr>
            <w:tcW w:w="7825" w:type="dxa"/>
            <w:shd w:val="clear" w:color="auto" w:fill="E7E7E8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81A878" w14:textId="77777777" w:rsidR="00462BFF" w:rsidRPr="00462BFF" w:rsidRDefault="00462BFF" w:rsidP="00462BFF">
            <w:pPr>
              <w:rPr>
                <w:rFonts w:ascii="Effra" w:hAnsi="Effra"/>
                <w:lang w:val="de-DE"/>
              </w:rPr>
            </w:pPr>
            <w:r w:rsidRPr="00462BFF">
              <w:rPr>
                <w:rFonts w:ascii="Effra" w:hAnsi="Effra"/>
                <w:lang w:val="de-DE"/>
              </w:rPr>
              <w:t>Es gibt drei Arten von Vorlagen, die für die Einladung einer medizinischen Fachkraft zu einem Treffen, einer Veranstaltung oder einer Schulung benötigt werden:</w:t>
            </w:r>
          </w:p>
          <w:p w14:paraId="3128DD22" w14:textId="4535391C" w:rsidR="00462BFF" w:rsidRPr="00462BFF" w:rsidRDefault="00462BFF" w:rsidP="00462BFF">
            <w:pPr>
              <w:rPr>
                <w:rFonts w:ascii="Effra" w:hAnsi="Effra"/>
                <w:lang w:val="de-DE"/>
              </w:rPr>
            </w:pPr>
            <w:r w:rsidRPr="00462BFF">
              <w:rPr>
                <w:rFonts w:ascii="Effra" w:hAnsi="Effra"/>
                <w:lang w:val="de-DE"/>
              </w:rPr>
              <w:t>1.Genehmigung – um eine Genehmigung innerhalb des Unternehmens zu erhalten</w:t>
            </w:r>
          </w:p>
          <w:p w14:paraId="07B83D84" w14:textId="25DCB58C" w:rsidR="00462BFF" w:rsidRPr="00462BFF" w:rsidRDefault="00462BFF" w:rsidP="00462BFF">
            <w:pPr>
              <w:rPr>
                <w:rFonts w:ascii="Effra" w:hAnsi="Effra"/>
                <w:lang w:val="de-DE"/>
              </w:rPr>
            </w:pPr>
            <w:r w:rsidRPr="00462BFF">
              <w:rPr>
                <w:rFonts w:ascii="Effra" w:hAnsi="Effra"/>
                <w:lang w:val="de-DE"/>
              </w:rPr>
              <w:t>2.Einladung einer medizinischen Fachkraft – um eine medizinische Fachkraft zur Teilnahme einzuladen</w:t>
            </w:r>
          </w:p>
          <w:p w14:paraId="74507D3F" w14:textId="1F2D958D" w:rsidR="00462BFF" w:rsidRPr="00462BFF" w:rsidRDefault="00462BFF" w:rsidP="00462BFF">
            <w:pPr>
              <w:rPr>
                <w:rFonts w:ascii="Effra" w:hAnsi="Effra"/>
                <w:lang w:val="de-DE"/>
              </w:rPr>
            </w:pPr>
            <w:r w:rsidRPr="00462BFF">
              <w:rPr>
                <w:rFonts w:ascii="Effra" w:hAnsi="Effra"/>
                <w:lang w:val="de-DE"/>
              </w:rPr>
              <w:t>3.Arbeitgeberbenachrichtigung – um den Arbeitgeber der medizinischen Fachkraft zu benachrichtigen (Anforderung je nach lokalen Gesetzen, Bestimmungen oder Branchencodes)</w:t>
            </w:r>
          </w:p>
        </w:tc>
      </w:tr>
    </w:tbl>
    <w:p w14:paraId="66C3FCF1" w14:textId="65FC1E19" w:rsidR="00B84FF2" w:rsidRPr="00462BFF" w:rsidRDefault="00B84FF2" w:rsidP="00F9413C">
      <w:pPr>
        <w:rPr>
          <w:rFonts w:ascii="Effra" w:hAnsi="Effra"/>
          <w:lang w:val="de-DE"/>
        </w:rPr>
      </w:pPr>
    </w:p>
    <w:p w14:paraId="141BA45F" w14:textId="037D7CCC" w:rsidR="008D003F" w:rsidRPr="00462BFF" w:rsidRDefault="008D003F" w:rsidP="00F9413C">
      <w:pPr>
        <w:rPr>
          <w:rFonts w:ascii="Effra" w:hAnsi="Effra"/>
          <w:lang w:val="de-DE"/>
        </w:rPr>
      </w:pPr>
    </w:p>
    <w:p w14:paraId="00295F00" w14:textId="4E2E4204" w:rsidR="008D003F" w:rsidRPr="00462BFF" w:rsidRDefault="008D003F" w:rsidP="00F9413C">
      <w:pPr>
        <w:rPr>
          <w:rFonts w:ascii="Effra" w:hAnsi="Effra"/>
          <w:lang w:val="de-DE"/>
        </w:rPr>
      </w:pPr>
    </w:p>
    <w:p w14:paraId="5FA76413" w14:textId="33B72636" w:rsidR="008D003F" w:rsidRPr="00462BFF" w:rsidRDefault="008D003F" w:rsidP="00F9413C">
      <w:pPr>
        <w:rPr>
          <w:rFonts w:ascii="Effra" w:hAnsi="Effra"/>
          <w:lang w:val="de-DE"/>
        </w:rPr>
      </w:pPr>
    </w:p>
    <w:sectPr w:rsidR="008D003F" w:rsidRPr="00462BFF" w:rsidSect="006E22B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720" w:bottom="1134" w:left="720" w:header="360" w:footer="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6C97" w14:textId="77777777" w:rsidR="005B34BD" w:rsidRDefault="005B34BD" w:rsidP="009E5C90">
      <w:r>
        <w:separator/>
      </w:r>
    </w:p>
  </w:endnote>
  <w:endnote w:type="continuationSeparator" w:id="0">
    <w:p w14:paraId="1B1B484F" w14:textId="77777777" w:rsidR="005B34BD" w:rsidRDefault="005B34BD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text" w:horzAnchor="page" w:tblpX="361" w:tblpY="1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"/>
      <w:gridCol w:w="10475"/>
    </w:tblGrid>
    <w:tr w:rsidR="009C132D" w14:paraId="4F6BBF9D" w14:textId="77777777" w:rsidTr="00A26E36">
      <w:trPr>
        <w:trHeight w:val="352"/>
      </w:trPr>
      <w:tc>
        <w:tcPr>
          <w:tcW w:w="688" w:type="dxa"/>
          <w:vAlign w:val="center"/>
        </w:tcPr>
        <w:p w14:paraId="1B26F626" w14:textId="5CF5C9FD" w:rsidR="009C132D" w:rsidRPr="00E64DB5" w:rsidRDefault="009C132D" w:rsidP="006C3AA4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E64DB5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E64DB5">
            <w:rPr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87125C">
            <w:rPr>
              <w:b/>
              <w:noProof/>
              <w:color w:val="FFFFFF" w:themeColor="background1"/>
              <w:sz w:val="18"/>
              <w:szCs w:val="18"/>
            </w:rPr>
            <w:t>3</w: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10442" w:type="dxa"/>
          <w:tcMar>
            <w:left w:w="202" w:type="dxa"/>
          </w:tcMar>
          <w:vAlign w:val="center"/>
        </w:tcPr>
        <w:p w14:paraId="40BDE0F4" w14:textId="3EFB6070" w:rsidR="009C132D" w:rsidRPr="00940472" w:rsidRDefault="00DB59FA" w:rsidP="00940472">
          <w:pPr>
            <w:pStyle w:val="Header"/>
            <w:tabs>
              <w:tab w:val="clear" w:pos="8640"/>
            </w:tabs>
            <w:rPr>
              <w:rFonts w:ascii="Effra" w:hAnsi="Effra"/>
              <w:caps/>
              <w:color w:val="004B87" w:themeColor="text2"/>
              <w:sz w:val="18"/>
              <w:szCs w:val="18"/>
              <w:lang w:val="de-DE"/>
            </w:rPr>
          </w:pPr>
          <w:r w:rsidRPr="00940472">
            <w:rPr>
              <w:rFonts w:ascii="Effra" w:hAnsi="Effra"/>
              <w:color w:val="004B87" w:themeColor="text2"/>
              <w:sz w:val="18"/>
              <w:szCs w:val="18"/>
              <w:lang w:val="de-DE"/>
            </w:rPr>
            <w:t>Refere</w:t>
          </w:r>
          <w:r w:rsidR="00940472" w:rsidRPr="00940472">
            <w:rPr>
              <w:rFonts w:ascii="Effra" w:hAnsi="Effra"/>
              <w:color w:val="004B87" w:themeColor="text2"/>
              <w:sz w:val="18"/>
              <w:szCs w:val="18"/>
              <w:lang w:val="de-DE"/>
            </w:rPr>
            <w:t>nzinstrumente und -beispiele</w:t>
          </w:r>
        </w:p>
      </w:tc>
    </w:tr>
  </w:tbl>
  <w:p w14:paraId="624A08DD" w14:textId="69875A21" w:rsidR="00BC7ACA" w:rsidRPr="006212BE" w:rsidRDefault="00BC7ACA" w:rsidP="001E27E1">
    <w:pPr>
      <w:pStyle w:val="Footer"/>
      <w:tabs>
        <w:tab w:val="clear" w:pos="4320"/>
        <w:tab w:val="clear" w:pos="8640"/>
        <w:tab w:val="right" w:pos="9630"/>
      </w:tabs>
      <w:ind w:right="-990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text" w:horzAnchor="page" w:tblpX="361" w:tblpY="1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"/>
      <w:gridCol w:w="10475"/>
    </w:tblGrid>
    <w:tr w:rsidR="00BC7ACA" w14:paraId="4C5FD731" w14:textId="77777777" w:rsidTr="00A26E36">
      <w:trPr>
        <w:trHeight w:val="352"/>
      </w:trPr>
      <w:tc>
        <w:tcPr>
          <w:tcW w:w="688" w:type="dxa"/>
          <w:vAlign w:val="center"/>
        </w:tcPr>
        <w:p w14:paraId="1483A6ED" w14:textId="39BB968B" w:rsidR="00BC7ACA" w:rsidRPr="00E64DB5" w:rsidRDefault="00BC7ACA" w:rsidP="00BC7ACA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E64DB5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Pr="00E64DB5">
            <w:rPr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87125C">
            <w:rPr>
              <w:b/>
              <w:noProof/>
              <w:color w:val="FFFFFF" w:themeColor="background1"/>
              <w:sz w:val="18"/>
              <w:szCs w:val="18"/>
            </w:rPr>
            <w:t>1</w: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10442" w:type="dxa"/>
          <w:tcMar>
            <w:left w:w="202" w:type="dxa"/>
          </w:tcMar>
          <w:vAlign w:val="center"/>
        </w:tcPr>
        <w:p w14:paraId="19A79084" w14:textId="22C0EF94" w:rsidR="00BC7ACA" w:rsidRPr="00940472" w:rsidRDefault="00DB59FA" w:rsidP="00940472">
          <w:pPr>
            <w:pStyle w:val="Header"/>
            <w:tabs>
              <w:tab w:val="clear" w:pos="8640"/>
            </w:tabs>
            <w:rPr>
              <w:rFonts w:ascii="Effra" w:hAnsi="Effra"/>
              <w:caps/>
              <w:color w:val="004B87" w:themeColor="text2"/>
              <w:sz w:val="18"/>
              <w:szCs w:val="18"/>
              <w:lang w:val="de-DE"/>
            </w:rPr>
          </w:pPr>
          <w:r w:rsidRPr="00940472">
            <w:rPr>
              <w:rFonts w:ascii="Effra" w:hAnsi="Effra"/>
              <w:color w:val="004B87" w:themeColor="text2"/>
              <w:sz w:val="18"/>
              <w:szCs w:val="18"/>
              <w:lang w:val="de-DE"/>
            </w:rPr>
            <w:t>Referen</w:t>
          </w:r>
          <w:r w:rsidR="00940472" w:rsidRPr="00940472">
            <w:rPr>
              <w:rFonts w:ascii="Effra" w:hAnsi="Effra"/>
              <w:color w:val="004B87" w:themeColor="text2"/>
              <w:sz w:val="18"/>
              <w:szCs w:val="18"/>
              <w:lang w:val="de-DE"/>
            </w:rPr>
            <w:t>zinstrumente und -beispiele</w:t>
          </w:r>
        </w:p>
      </w:tc>
    </w:tr>
  </w:tbl>
  <w:p w14:paraId="264B0A44" w14:textId="064076F1" w:rsidR="00BC7ACA" w:rsidRPr="006212BE" w:rsidRDefault="00BC7ACA" w:rsidP="001E27E1">
    <w:pPr>
      <w:pStyle w:val="Footer"/>
      <w:tabs>
        <w:tab w:val="clear" w:pos="4320"/>
        <w:tab w:val="clear" w:pos="8640"/>
        <w:tab w:val="right" w:pos="9630"/>
      </w:tabs>
      <w:ind w:right="-99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0583E" w14:textId="77777777" w:rsidR="005B34BD" w:rsidRDefault="005B34BD" w:rsidP="009E5C90">
      <w:r>
        <w:separator/>
      </w:r>
    </w:p>
  </w:footnote>
  <w:footnote w:type="continuationSeparator" w:id="0">
    <w:p w14:paraId="407C1C21" w14:textId="77777777" w:rsidR="005B34BD" w:rsidRDefault="005B34BD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14C8" w14:textId="21192778" w:rsidR="00BC7ACA" w:rsidRDefault="004D4FA2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87936" behindDoc="1" locked="0" layoutInCell="1" allowOverlap="1" wp14:anchorId="416BE74B" wp14:editId="46D62A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8.5x11_vertical_v1_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8.5x11_vertical_v1_b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4BD">
      <w:rPr>
        <w:noProof/>
      </w:rPr>
      <w:pict w14:anchorId="3E3CA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31616;mso-wrap-edited:f;mso-position-horizontal:center;mso-position-horizontal-relative:margin;mso-position-vertical:center;mso-position-vertical-relative:margin" wrapcoords="582 490 582 4254 5664 4397 10800 4418 10800 20127 582 20147 582 21068 20991 21068 20991 20147 10800 20127 10800 4418 15908 4397 20991 4254 20991 490 582 490">
          <v:imagedata r:id="rId2" o:title="8"/>
          <w10:wrap anchorx="margin" anchory="margin"/>
        </v:shape>
      </w:pict>
    </w:r>
    <w:r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672B508B" wp14:editId="132B2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029E750A" wp14:editId="10D09C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8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018B" w14:textId="5083A442" w:rsidR="00BC7ACA" w:rsidRDefault="005B34BD" w:rsidP="001E27E1">
    <w:pPr>
      <w:pStyle w:val="Header"/>
      <w:tabs>
        <w:tab w:val="clear" w:pos="4320"/>
        <w:tab w:val="clear" w:pos="8640"/>
      </w:tabs>
    </w:pPr>
    <w:r>
      <w:rPr>
        <w:noProof/>
      </w:rPr>
      <w:pict w14:anchorId="65414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2pt;height:11in;z-index:-251629568;mso-wrap-edited:f;mso-position-horizontal:center;mso-position-horizontal-relative:page;mso-position-vertical:center;mso-position-vertical-relative:page" wrapcoords="582 20168 582 21068 20991 21068 20991 20168 582 20168">
          <v:imagedata r:id="rId1" o:title="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6A9F" w14:textId="33A3F2C0" w:rsidR="00BC7ACA" w:rsidRPr="001E27E1" w:rsidRDefault="005B34BD" w:rsidP="0091694F">
    <w:pPr>
      <w:pStyle w:val="Header"/>
      <w:spacing w:after="2760"/>
    </w:pPr>
    <w:r>
      <w:rPr>
        <w:noProof/>
      </w:rPr>
      <w:pict w14:anchorId="4AFE3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3pt;margin-top:-4.5pt;width:612pt;height:791.35pt;z-index:-251630592;mso-wrap-edited:f;mso-position-horizontal-relative:page;mso-position-vertical-relative:page" wrapcoords="582 490 582 4254 5664 4397 10800 4418 10800 20127 582 20147 582 21068 20991 21068 20991 20147 10800 20127 10800 4418 15908 4397 20991 4254 20991 490 582 490">
          <v:imagedata r:id="rId1" o:title="8"/>
          <w10:wrap anchorx="page" anchory="page"/>
        </v:shape>
      </w:pict>
    </w:r>
    <w:r w:rsidR="00BC7ACA" w:rsidRPr="001E27E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7E6171E" wp14:editId="288CD19A">
              <wp:simplePos x="0" y="0"/>
              <wp:positionH relativeFrom="column">
                <wp:posOffset>1914525</wp:posOffset>
              </wp:positionH>
              <wp:positionV relativeFrom="page">
                <wp:posOffset>657225</wp:posOffset>
              </wp:positionV>
              <wp:extent cx="3419475" cy="18669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186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485590" w14:textId="0271EF4C" w:rsidR="00BC7ACA" w:rsidRPr="006E5DDF" w:rsidRDefault="00925EDF" w:rsidP="00DE0F3B">
                          <w:pPr>
                            <w:spacing w:line="560" w:lineRule="exact"/>
                            <w:rPr>
                              <w:caps/>
                              <w:color w:val="0085CA" w:themeColor="accent1"/>
                              <w:sz w:val="64"/>
                              <w:szCs w:val="64"/>
                              <w:lang w:val="de-DE"/>
                            </w:rPr>
                          </w:pPr>
                          <w:r>
                            <w:rPr>
                              <w:rFonts w:ascii="Effra Medium" w:hAnsi="Effra Medium"/>
                              <w:caps/>
                              <w:color w:val="B0008E"/>
                              <w:sz w:val="64"/>
                              <w:szCs w:val="64"/>
                              <w:lang w:val="de-DE"/>
                            </w:rPr>
                            <w:t>Informationen</w:t>
                          </w:r>
                          <w:r w:rsidR="006E5DDF" w:rsidRPr="006E5DDF">
                            <w:rPr>
                              <w:rFonts w:ascii="Effra Medium" w:hAnsi="Effra Medium"/>
                              <w:caps/>
                              <w:color w:val="B0008E"/>
                              <w:sz w:val="64"/>
                              <w:szCs w:val="64"/>
                              <w:lang w:val="de-DE"/>
                            </w:rPr>
                            <w:t>-</w:t>
                          </w:r>
                          <w:r w:rsidR="00BC7ACA" w:rsidRPr="006E5DDF">
                            <w:rPr>
                              <w:rFonts w:ascii="Effra Medium" w:hAnsi="Effra Medium"/>
                              <w:caps/>
                              <w:color w:val="B0008E"/>
                              <w:sz w:val="64"/>
                              <w:szCs w:val="64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Effra" w:hAnsi="Effra"/>
                              <w:b/>
                              <w:caps/>
                              <w:color w:val="0085CA" w:themeColor="accent1"/>
                              <w:sz w:val="64"/>
                              <w:szCs w:val="64"/>
                              <w:lang w:val="de-DE"/>
                            </w:rPr>
                            <w:t>TOOLS</w:t>
                          </w:r>
                          <w:r w:rsidR="00B66CEB">
                            <w:rPr>
                              <w:rFonts w:ascii="Effra" w:hAnsi="Effra"/>
                              <w:b/>
                              <w:caps/>
                              <w:color w:val="0085CA" w:themeColor="accent1"/>
                              <w:sz w:val="64"/>
                              <w:szCs w:val="64"/>
                              <w:lang w:val="de-DE"/>
                            </w:rPr>
                            <w:t xml:space="preserve"> </w:t>
                          </w:r>
                          <w:r w:rsidR="006E5DDF" w:rsidRPr="006E5DDF">
                            <w:rPr>
                              <w:rFonts w:ascii="Effra" w:hAnsi="Effra"/>
                              <w:caps/>
                              <w:color w:val="0085CA" w:themeColor="accent1"/>
                              <w:sz w:val="64"/>
                              <w:szCs w:val="64"/>
                              <w:lang w:val="de-DE"/>
                            </w:rPr>
                            <w:t>und</w:t>
                          </w:r>
                          <w:r w:rsidR="00B00796" w:rsidRPr="006E5DDF">
                            <w:rPr>
                              <w:rFonts w:ascii="Effra" w:hAnsi="Effra"/>
                              <w:b/>
                              <w:caps/>
                              <w:color w:val="0085CA" w:themeColor="accent1"/>
                              <w:sz w:val="64"/>
                              <w:szCs w:val="64"/>
                              <w:lang w:val="de-DE"/>
                            </w:rPr>
                            <w:t xml:space="preserve"> </w:t>
                          </w:r>
                          <w:r w:rsidR="006E5DDF" w:rsidRPr="006E5DDF">
                            <w:rPr>
                              <w:rFonts w:ascii="Effra" w:hAnsi="Effra"/>
                              <w:b/>
                              <w:caps/>
                              <w:color w:val="0085CA" w:themeColor="accent1"/>
                              <w:sz w:val="64"/>
                              <w:szCs w:val="64"/>
                              <w:lang w:val="de-DE"/>
                            </w:rPr>
                            <w:t>-Beispiele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617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75pt;margin-top:51.75pt;width:269.25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" filled="f" stroked="f" strokeweight=".5pt">
              <v:textbox inset="0,0,0,0">
                <w:txbxContent>
                  <w:p w14:paraId="1C485590" w14:textId="0271EF4C" w:rsidR="00BC7ACA" w:rsidRPr="006E5DDF" w:rsidRDefault="00925EDF" w:rsidP="00DE0F3B">
                    <w:pPr>
                      <w:spacing w:line="560" w:lineRule="exact"/>
                      <w:rPr>
                        <w:caps/>
                        <w:color w:val="0085CA" w:themeColor="accent1"/>
                        <w:sz w:val="64"/>
                        <w:szCs w:val="64"/>
                        <w:lang w:val="de-DE"/>
                      </w:rPr>
                    </w:pPr>
                    <w:r>
                      <w:rPr>
                        <w:rFonts w:ascii="Effra Medium" w:hAnsi="Effra Medium"/>
                        <w:caps/>
                        <w:color w:val="B0008E"/>
                        <w:sz w:val="64"/>
                        <w:szCs w:val="64"/>
                        <w:lang w:val="de-DE"/>
                      </w:rPr>
                      <w:t>Informationen</w:t>
                    </w:r>
                    <w:r w:rsidR="006E5DDF" w:rsidRPr="006E5DDF">
                      <w:rPr>
                        <w:rFonts w:ascii="Effra Medium" w:hAnsi="Effra Medium"/>
                        <w:caps/>
                        <w:color w:val="B0008E"/>
                        <w:sz w:val="64"/>
                        <w:szCs w:val="64"/>
                        <w:lang w:val="de-DE"/>
                      </w:rPr>
                      <w:t>-</w:t>
                    </w:r>
                    <w:r w:rsidR="00BC7ACA" w:rsidRPr="006E5DDF">
                      <w:rPr>
                        <w:rFonts w:ascii="Effra Medium" w:hAnsi="Effra Medium"/>
                        <w:caps/>
                        <w:color w:val="B0008E"/>
                        <w:sz w:val="64"/>
                        <w:szCs w:val="64"/>
                        <w:lang w:val="de-DE"/>
                      </w:rPr>
                      <w:br/>
                    </w:r>
                    <w:r>
                      <w:rPr>
                        <w:rFonts w:ascii="Effra" w:hAnsi="Effra"/>
                        <w:b/>
                        <w:caps/>
                        <w:color w:val="0085CA" w:themeColor="accent1"/>
                        <w:sz w:val="64"/>
                        <w:szCs w:val="64"/>
                        <w:lang w:val="de-DE"/>
                      </w:rPr>
                      <w:t>TOOLS</w:t>
                    </w:r>
                    <w:r w:rsidR="00B66CEB">
                      <w:rPr>
                        <w:rFonts w:ascii="Effra" w:hAnsi="Effra"/>
                        <w:b/>
                        <w:caps/>
                        <w:color w:val="0085CA" w:themeColor="accent1"/>
                        <w:sz w:val="64"/>
                        <w:szCs w:val="64"/>
                        <w:lang w:val="de-DE"/>
                      </w:rPr>
                      <w:t xml:space="preserve"> </w:t>
                    </w:r>
                    <w:r w:rsidR="006E5DDF" w:rsidRPr="006E5DDF">
                      <w:rPr>
                        <w:rFonts w:ascii="Effra" w:hAnsi="Effra"/>
                        <w:caps/>
                        <w:color w:val="0085CA" w:themeColor="accent1"/>
                        <w:sz w:val="64"/>
                        <w:szCs w:val="64"/>
                        <w:lang w:val="de-DE"/>
                      </w:rPr>
                      <w:t>und</w:t>
                    </w:r>
                    <w:r w:rsidR="00B00796" w:rsidRPr="006E5DDF">
                      <w:rPr>
                        <w:rFonts w:ascii="Effra" w:hAnsi="Effra"/>
                        <w:b/>
                        <w:caps/>
                        <w:color w:val="0085CA" w:themeColor="accent1"/>
                        <w:sz w:val="64"/>
                        <w:szCs w:val="64"/>
                        <w:lang w:val="de-DE"/>
                      </w:rPr>
                      <w:t xml:space="preserve"> </w:t>
                    </w:r>
                    <w:r w:rsidR="006E5DDF" w:rsidRPr="006E5DDF">
                      <w:rPr>
                        <w:rFonts w:ascii="Effra" w:hAnsi="Effra"/>
                        <w:b/>
                        <w:caps/>
                        <w:color w:val="0085CA" w:themeColor="accent1"/>
                        <w:sz w:val="64"/>
                        <w:szCs w:val="64"/>
                        <w:lang w:val="de-DE"/>
                      </w:rPr>
                      <w:t>-Beispiele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9DE"/>
    <w:multiLevelType w:val="hybridMultilevel"/>
    <w:tmpl w:val="8668C214"/>
    <w:lvl w:ilvl="0" w:tplc="DE2007AA">
      <w:numFmt w:val="bullet"/>
      <w:lvlText w:val="•"/>
      <w:lvlJc w:val="left"/>
      <w:pPr>
        <w:ind w:left="1080" w:hanging="72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065"/>
    <w:multiLevelType w:val="hybridMultilevel"/>
    <w:tmpl w:val="F53809E8"/>
    <w:lvl w:ilvl="0" w:tplc="843C8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6A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E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2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69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D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C12AB6"/>
    <w:multiLevelType w:val="hybridMultilevel"/>
    <w:tmpl w:val="604CD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7B2F"/>
    <w:multiLevelType w:val="hybridMultilevel"/>
    <w:tmpl w:val="FF16844A"/>
    <w:lvl w:ilvl="0" w:tplc="DE2007AA">
      <w:numFmt w:val="bullet"/>
      <w:lvlText w:val="•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C3E"/>
    <w:multiLevelType w:val="hybridMultilevel"/>
    <w:tmpl w:val="1500F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B5804"/>
    <w:multiLevelType w:val="hybridMultilevel"/>
    <w:tmpl w:val="BE22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051D"/>
    <w:multiLevelType w:val="hybridMultilevel"/>
    <w:tmpl w:val="A416796C"/>
    <w:lvl w:ilvl="0" w:tplc="B65A2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41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8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A0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8A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E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2F10FD"/>
    <w:multiLevelType w:val="hybridMultilevel"/>
    <w:tmpl w:val="4AB8D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D7BB3"/>
    <w:multiLevelType w:val="hybridMultilevel"/>
    <w:tmpl w:val="91D6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43536"/>
    <w:multiLevelType w:val="multilevel"/>
    <w:tmpl w:val="2C0896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73E85A7A"/>
    <w:multiLevelType w:val="hybridMultilevel"/>
    <w:tmpl w:val="657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0"/>
    <w:rsid w:val="000515ED"/>
    <w:rsid w:val="000B46D2"/>
    <w:rsid w:val="000B6A57"/>
    <w:rsid w:val="000C31B3"/>
    <w:rsid w:val="000E4133"/>
    <w:rsid w:val="000E7E51"/>
    <w:rsid w:val="00106F78"/>
    <w:rsid w:val="00112FDE"/>
    <w:rsid w:val="00126141"/>
    <w:rsid w:val="0016285D"/>
    <w:rsid w:val="00190B26"/>
    <w:rsid w:val="001A2EB6"/>
    <w:rsid w:val="001C05E9"/>
    <w:rsid w:val="001E27E1"/>
    <w:rsid w:val="001E7845"/>
    <w:rsid w:val="00250FF5"/>
    <w:rsid w:val="00262D8F"/>
    <w:rsid w:val="00263D66"/>
    <w:rsid w:val="0026704B"/>
    <w:rsid w:val="00282BE6"/>
    <w:rsid w:val="003128F5"/>
    <w:rsid w:val="00327A46"/>
    <w:rsid w:val="003305B8"/>
    <w:rsid w:val="00343473"/>
    <w:rsid w:val="00346D1C"/>
    <w:rsid w:val="003652E6"/>
    <w:rsid w:val="0037240C"/>
    <w:rsid w:val="00373D48"/>
    <w:rsid w:val="003852AC"/>
    <w:rsid w:val="003A0DCC"/>
    <w:rsid w:val="003A644A"/>
    <w:rsid w:val="003C1AAF"/>
    <w:rsid w:val="003D308A"/>
    <w:rsid w:val="003D3FB3"/>
    <w:rsid w:val="003D56F8"/>
    <w:rsid w:val="003E08FB"/>
    <w:rsid w:val="003E1AD2"/>
    <w:rsid w:val="004367A7"/>
    <w:rsid w:val="00440562"/>
    <w:rsid w:val="00440E0D"/>
    <w:rsid w:val="00456B09"/>
    <w:rsid w:val="00462BFF"/>
    <w:rsid w:val="00483E43"/>
    <w:rsid w:val="004872AE"/>
    <w:rsid w:val="004A5DD8"/>
    <w:rsid w:val="004C1C6C"/>
    <w:rsid w:val="004D4FA2"/>
    <w:rsid w:val="004E48C3"/>
    <w:rsid w:val="005079A7"/>
    <w:rsid w:val="00515367"/>
    <w:rsid w:val="005371E0"/>
    <w:rsid w:val="005412E9"/>
    <w:rsid w:val="00543933"/>
    <w:rsid w:val="005570D1"/>
    <w:rsid w:val="005639EC"/>
    <w:rsid w:val="005818F1"/>
    <w:rsid w:val="00597326"/>
    <w:rsid w:val="005B34BD"/>
    <w:rsid w:val="005B5770"/>
    <w:rsid w:val="005B629B"/>
    <w:rsid w:val="005C4C16"/>
    <w:rsid w:val="005D5FEA"/>
    <w:rsid w:val="005D6243"/>
    <w:rsid w:val="005D7BB6"/>
    <w:rsid w:val="005E5008"/>
    <w:rsid w:val="005E702A"/>
    <w:rsid w:val="00603E44"/>
    <w:rsid w:val="006070E9"/>
    <w:rsid w:val="006142CF"/>
    <w:rsid w:val="00614E19"/>
    <w:rsid w:val="006212BE"/>
    <w:rsid w:val="00623887"/>
    <w:rsid w:val="006243DB"/>
    <w:rsid w:val="00632C93"/>
    <w:rsid w:val="0063621B"/>
    <w:rsid w:val="00643D48"/>
    <w:rsid w:val="00644329"/>
    <w:rsid w:val="006450D0"/>
    <w:rsid w:val="006471E0"/>
    <w:rsid w:val="006539E3"/>
    <w:rsid w:val="006651F4"/>
    <w:rsid w:val="00692546"/>
    <w:rsid w:val="00696D08"/>
    <w:rsid w:val="006B0A09"/>
    <w:rsid w:val="006C54F5"/>
    <w:rsid w:val="006D3CC2"/>
    <w:rsid w:val="006E22B0"/>
    <w:rsid w:val="006E5DDF"/>
    <w:rsid w:val="00712A51"/>
    <w:rsid w:val="00714EC7"/>
    <w:rsid w:val="0072086C"/>
    <w:rsid w:val="0075219F"/>
    <w:rsid w:val="00781F50"/>
    <w:rsid w:val="00782ADE"/>
    <w:rsid w:val="007926D3"/>
    <w:rsid w:val="0079615D"/>
    <w:rsid w:val="0081495E"/>
    <w:rsid w:val="00833446"/>
    <w:rsid w:val="00834B62"/>
    <w:rsid w:val="00837046"/>
    <w:rsid w:val="00837503"/>
    <w:rsid w:val="0085503E"/>
    <w:rsid w:val="0085676F"/>
    <w:rsid w:val="0086603F"/>
    <w:rsid w:val="0087125C"/>
    <w:rsid w:val="00885ED9"/>
    <w:rsid w:val="0089165B"/>
    <w:rsid w:val="008A128C"/>
    <w:rsid w:val="008B3314"/>
    <w:rsid w:val="008D003F"/>
    <w:rsid w:val="008E05C5"/>
    <w:rsid w:val="008E20BC"/>
    <w:rsid w:val="008E52D2"/>
    <w:rsid w:val="008F6E5B"/>
    <w:rsid w:val="00900F58"/>
    <w:rsid w:val="009022B6"/>
    <w:rsid w:val="00906C8A"/>
    <w:rsid w:val="0091694F"/>
    <w:rsid w:val="00925EDF"/>
    <w:rsid w:val="009374E7"/>
    <w:rsid w:val="00940472"/>
    <w:rsid w:val="0097394C"/>
    <w:rsid w:val="00975B12"/>
    <w:rsid w:val="00977E28"/>
    <w:rsid w:val="0098026D"/>
    <w:rsid w:val="009835FE"/>
    <w:rsid w:val="00984055"/>
    <w:rsid w:val="00990083"/>
    <w:rsid w:val="00994634"/>
    <w:rsid w:val="009B1333"/>
    <w:rsid w:val="009B5942"/>
    <w:rsid w:val="009B67FB"/>
    <w:rsid w:val="009B6FC2"/>
    <w:rsid w:val="009C132D"/>
    <w:rsid w:val="009C6FC3"/>
    <w:rsid w:val="009E5C90"/>
    <w:rsid w:val="00A03396"/>
    <w:rsid w:val="00A23320"/>
    <w:rsid w:val="00A26E36"/>
    <w:rsid w:val="00A64387"/>
    <w:rsid w:val="00A721B0"/>
    <w:rsid w:val="00A75BE4"/>
    <w:rsid w:val="00A82759"/>
    <w:rsid w:val="00A95DDA"/>
    <w:rsid w:val="00B00796"/>
    <w:rsid w:val="00B03E63"/>
    <w:rsid w:val="00B267E8"/>
    <w:rsid w:val="00B47730"/>
    <w:rsid w:val="00B55C39"/>
    <w:rsid w:val="00B640AA"/>
    <w:rsid w:val="00B66CEB"/>
    <w:rsid w:val="00B84FF2"/>
    <w:rsid w:val="00B86688"/>
    <w:rsid w:val="00B934F1"/>
    <w:rsid w:val="00BB4728"/>
    <w:rsid w:val="00BB62B7"/>
    <w:rsid w:val="00BB6EA5"/>
    <w:rsid w:val="00BC7ACA"/>
    <w:rsid w:val="00BD25B9"/>
    <w:rsid w:val="00BD5879"/>
    <w:rsid w:val="00BE0419"/>
    <w:rsid w:val="00BF0F06"/>
    <w:rsid w:val="00BF1E38"/>
    <w:rsid w:val="00BF21AB"/>
    <w:rsid w:val="00BF5B78"/>
    <w:rsid w:val="00C447D9"/>
    <w:rsid w:val="00C74F44"/>
    <w:rsid w:val="00C947AC"/>
    <w:rsid w:val="00C97A69"/>
    <w:rsid w:val="00CC1E5E"/>
    <w:rsid w:val="00CE09D8"/>
    <w:rsid w:val="00CF3338"/>
    <w:rsid w:val="00D34909"/>
    <w:rsid w:val="00D4233C"/>
    <w:rsid w:val="00D46A00"/>
    <w:rsid w:val="00D56168"/>
    <w:rsid w:val="00D70D43"/>
    <w:rsid w:val="00D76C5E"/>
    <w:rsid w:val="00DA3369"/>
    <w:rsid w:val="00DB1675"/>
    <w:rsid w:val="00DB59FA"/>
    <w:rsid w:val="00DC0A37"/>
    <w:rsid w:val="00DC11A8"/>
    <w:rsid w:val="00DE0F3B"/>
    <w:rsid w:val="00DF0D72"/>
    <w:rsid w:val="00DF4381"/>
    <w:rsid w:val="00E250D1"/>
    <w:rsid w:val="00E31564"/>
    <w:rsid w:val="00E606B1"/>
    <w:rsid w:val="00E97BF9"/>
    <w:rsid w:val="00EA0D84"/>
    <w:rsid w:val="00EC3695"/>
    <w:rsid w:val="00F06073"/>
    <w:rsid w:val="00F064A0"/>
    <w:rsid w:val="00F247A4"/>
    <w:rsid w:val="00F4223C"/>
    <w:rsid w:val="00F54A89"/>
    <w:rsid w:val="00F57D68"/>
    <w:rsid w:val="00F61C6E"/>
    <w:rsid w:val="00F64ECC"/>
    <w:rsid w:val="00F66A20"/>
    <w:rsid w:val="00F7519C"/>
    <w:rsid w:val="00F82823"/>
    <w:rsid w:val="00F86CB5"/>
    <w:rsid w:val="00F874BD"/>
    <w:rsid w:val="00F9413C"/>
    <w:rsid w:val="00FA72F2"/>
    <w:rsid w:val="00FA74F1"/>
    <w:rsid w:val="00FC695D"/>
    <w:rsid w:val="00FC7B23"/>
    <w:rsid w:val="00FD0794"/>
    <w:rsid w:val="791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25852A78"/>
  <w14:defaultImageDpi w14:val="300"/>
  <w15:docId w15:val="{363E0159-42C9-407E-95EC-3FAE11D9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1E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03F"/>
    <w:rPr>
      <w:color w:val="77BC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03F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F54A89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FFCD1-B8AB-436B-84D9-CDDED2AEA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3A111-6961-4D36-AB54-3E3661891285}"/>
</file>

<file path=customXml/itemProps3.xml><?xml version="1.0" encoding="utf-8"?>
<ds:datastoreItem xmlns:ds="http://schemas.openxmlformats.org/officeDocument/2006/customXml" ds:itemID="{0B8A4E68-49C5-4C98-BBD6-43CFEDCDA054}"/>
</file>

<file path=customXml/itemProps4.xml><?xml version="1.0" encoding="utf-8"?>
<ds:datastoreItem xmlns:ds="http://schemas.openxmlformats.org/officeDocument/2006/customXml" ds:itemID="{4FEA7C34-FA66-4E48-A8BB-35DDBBAC6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Medtronic, plc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keywords>Medtronic Controlled</cp:keywords>
  <cp:lastModifiedBy>Mesanza costa, Eulalia</cp:lastModifiedBy>
  <cp:revision>3</cp:revision>
  <cp:lastPrinted>2018-09-09T19:02:00Z</cp:lastPrinted>
  <dcterms:created xsi:type="dcterms:W3CDTF">2021-11-04T17:13:00Z</dcterms:created>
  <dcterms:modified xsi:type="dcterms:W3CDTF">2021-11-04T17:17:00Z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826d9fb7-6061-4f41-9683-d526b69cd37e</vt:lpwstr>
  </property>
  <property fmtid="{D5CDD505-2E9C-101B-9397-08002B2CF9AE}" pid="3" name="Classification">
    <vt:lpwstr>MedtronicControlled</vt:lpwstr>
  </property>
  <property fmtid="{D5CDD505-2E9C-101B-9397-08002B2CF9AE}" pid="4" name="ContentTypeId">
    <vt:lpwstr>0x0101006A76F0F7977FFA4DB551E8DFF6676ED6</vt:lpwstr>
  </property>
</Properties>
</file>